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1320D" w14:textId="287327EC" w:rsidR="00E9643C" w:rsidRDefault="00E9643C" w:rsidP="00E9643C">
      <w:pPr>
        <w:pStyle w:val="Heading1"/>
        <w:pBdr>
          <w:bottom w:val="single" w:sz="8" w:space="1" w:color="4472C4" w:themeColor="accent5"/>
        </w:pBd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783B390" wp14:editId="128C997F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716301" cy="799796"/>
            <wp:effectExtent l="0" t="0" r="762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ylogo-tall-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301" cy="799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5CA">
        <w:rPr>
          <w:b/>
          <w:sz w:val="36"/>
          <w:szCs w:val="36"/>
        </w:rPr>
        <w:t>Implementation Guidance:</w:t>
      </w:r>
      <w:r w:rsidR="006A7239">
        <w:rPr>
          <w:b/>
          <w:sz w:val="36"/>
          <w:szCs w:val="36"/>
        </w:rPr>
        <w:t xml:space="preserve"> </w:t>
      </w:r>
      <w:bookmarkStart w:id="0" w:name="_GoBack"/>
      <w:r w:rsidR="004067C9">
        <w:rPr>
          <w:b/>
          <w:sz w:val="36"/>
          <w:szCs w:val="36"/>
        </w:rPr>
        <w:t>Type</w:t>
      </w:r>
      <w:bookmarkEnd w:id="0"/>
      <w:r w:rsidR="004067C9">
        <w:rPr>
          <w:b/>
          <w:sz w:val="36"/>
          <w:szCs w:val="36"/>
        </w:rPr>
        <w:t xml:space="preserve"> A </w:t>
      </w:r>
      <w:r w:rsidR="007101FF">
        <w:rPr>
          <w:b/>
          <w:sz w:val="36"/>
          <w:szCs w:val="36"/>
        </w:rPr>
        <w:t xml:space="preserve">Railroad </w:t>
      </w:r>
      <w:r w:rsidR="000745CA">
        <w:rPr>
          <w:b/>
          <w:sz w:val="36"/>
          <w:szCs w:val="36"/>
        </w:rPr>
        <w:t>Contingency Pla</w:t>
      </w:r>
      <w:r w:rsidR="00EF51FC">
        <w:rPr>
          <w:b/>
          <w:sz w:val="36"/>
          <w:szCs w:val="36"/>
        </w:rPr>
        <w:t>n</w:t>
      </w:r>
      <w:r w:rsidR="004067C9">
        <w:rPr>
          <w:b/>
          <w:sz w:val="36"/>
          <w:szCs w:val="36"/>
        </w:rPr>
        <w:t xml:space="preserve"> Holder</w:t>
      </w:r>
      <w:r w:rsidR="009C19CE">
        <w:rPr>
          <w:b/>
          <w:sz w:val="36"/>
          <w:szCs w:val="36"/>
        </w:rPr>
        <w:t>s</w:t>
      </w:r>
    </w:p>
    <w:p w14:paraId="2E19E8A0" w14:textId="6498DC5F" w:rsidR="00E9643C" w:rsidRPr="006F4BE1" w:rsidRDefault="00E9643C" w:rsidP="00E9643C">
      <w:pPr>
        <w:pStyle w:val="Heading1"/>
        <w:pBdr>
          <w:bottom w:val="single" w:sz="8" w:space="1" w:color="4472C4" w:themeColor="accent5"/>
        </w:pBdr>
        <w:spacing w:before="0"/>
        <w:rPr>
          <w:rStyle w:val="Heading2Char"/>
        </w:rPr>
      </w:pPr>
      <w:r w:rsidRPr="006F4BE1">
        <w:rPr>
          <w:rStyle w:val="Heading2Char"/>
        </w:rPr>
        <w:t>Updates to WAC 173-18</w:t>
      </w:r>
      <w:r w:rsidR="00B07424">
        <w:rPr>
          <w:rStyle w:val="Heading2Char"/>
        </w:rPr>
        <w:t>6</w:t>
      </w:r>
      <w:r>
        <w:rPr>
          <w:rStyle w:val="Heading2Char"/>
        </w:rPr>
        <w:t xml:space="preserve"> </w:t>
      </w:r>
    </w:p>
    <w:p w14:paraId="32FE1C0A" w14:textId="7C513179" w:rsidR="001B4469" w:rsidRDefault="001B4469" w:rsidP="00E9643C"/>
    <w:p w14:paraId="59868446" w14:textId="2F82D277" w:rsidR="00E9643C" w:rsidRPr="006F4BE1" w:rsidRDefault="004067C9" w:rsidP="007101FF">
      <w:pPr>
        <w:pStyle w:val="Heading2"/>
      </w:pPr>
      <w:hyperlink r:id="rId13" w:history="1">
        <w:r w:rsidR="009D1BFC">
          <w:rPr>
            <w:rStyle w:val="Hyperlink"/>
          </w:rPr>
          <w:t>18</w:t>
        </w:r>
        <w:r w:rsidR="00E9643C" w:rsidRPr="00DB0CB9">
          <w:rPr>
            <w:rStyle w:val="Hyperlink"/>
          </w:rPr>
          <w:t xml:space="preserve"> month phase-in</w:t>
        </w:r>
      </w:hyperlink>
      <w:r w:rsidR="00E9643C">
        <w:t xml:space="preserve"> (Due by J</w:t>
      </w:r>
      <w:r w:rsidR="00DD1DFC">
        <w:t>uly</w:t>
      </w:r>
      <w:r w:rsidR="00E9643C" w:rsidRPr="006F4BE1">
        <w:t> 18, 2021</w:t>
      </w:r>
      <w:r w:rsidR="00E9643C">
        <w:t>)</w:t>
      </w:r>
    </w:p>
    <w:p w14:paraId="188D46B3" w14:textId="6BC4BA95" w:rsidR="00E9643C" w:rsidRDefault="00B121D2" w:rsidP="00E9643C">
      <w:r>
        <w:t xml:space="preserve">Type A </w:t>
      </w:r>
      <w:r w:rsidR="00BD7ACA">
        <w:t>Railroad</w:t>
      </w:r>
      <w:r>
        <w:t xml:space="preserve"> Oil Spill Contingency Plan holders </w:t>
      </w:r>
      <w:r w:rsidR="00920233">
        <w:t>will</w:t>
      </w:r>
      <w:r w:rsidR="00E9643C" w:rsidRPr="006F4BE1">
        <w:t xml:space="preserve"> update their plans to demonstrate the contracts,</w:t>
      </w:r>
      <w:r w:rsidR="00920233">
        <w:t xml:space="preserve"> tools, procedures,</w:t>
      </w:r>
      <w:r w:rsidR="00E9643C" w:rsidRPr="006F4BE1">
        <w:t xml:space="preserve"> </w:t>
      </w:r>
      <w:r w:rsidR="00920233">
        <w:t xml:space="preserve">people, </w:t>
      </w:r>
      <w:r w:rsidR="00E9643C" w:rsidRPr="006F4BE1">
        <w:t xml:space="preserve">equipment, and training to meet the </w:t>
      </w:r>
      <w:r w:rsidR="00920233">
        <w:t xml:space="preserve">updated </w:t>
      </w:r>
      <w:r w:rsidR="00E9643C" w:rsidRPr="006F4BE1">
        <w:t>planning requirements. </w:t>
      </w:r>
      <w:r w:rsidR="00E9643C">
        <w:t>Rule changes requiring contingency plan updates include:</w:t>
      </w:r>
    </w:p>
    <w:p w14:paraId="7EDE0FA0" w14:textId="2D05C7B0" w:rsidR="00E9643C" w:rsidRPr="00F0766B" w:rsidRDefault="00E9643C" w:rsidP="00E9643C">
      <w:pPr>
        <w:pStyle w:val="Heading3"/>
      </w:pPr>
      <w:r>
        <w:t xml:space="preserve">Updated Binding Agreement </w:t>
      </w:r>
      <w:r w:rsidRPr="00F0766B">
        <w:t>(</w:t>
      </w:r>
      <w:hyperlink r:id="rId14" w:history="1">
        <w:r w:rsidRPr="008F21BF">
          <w:rPr>
            <w:rStyle w:val="Hyperlink"/>
          </w:rPr>
          <w:t>WAC </w:t>
        </w:r>
        <w:r w:rsidR="00B121D2" w:rsidRPr="008F21BF">
          <w:rPr>
            <w:rStyle w:val="Hyperlink"/>
            <w:bCs/>
          </w:rPr>
          <w:t>173-186-210</w:t>
        </w:r>
      </w:hyperlink>
      <w:r w:rsidRPr="00F0766B">
        <w:t>).</w:t>
      </w:r>
    </w:p>
    <w:p w14:paraId="280A5BB9" w14:textId="2300962F" w:rsidR="00B121D2" w:rsidRDefault="00E9643C" w:rsidP="00E9643C">
      <w:r w:rsidRPr="00F0766B">
        <w:t xml:space="preserve">Plan </w:t>
      </w:r>
      <w:r>
        <w:t>must contain</w:t>
      </w:r>
      <w:r w:rsidRPr="00F0766B">
        <w:t xml:space="preserve"> a binding agreement signed by </w:t>
      </w:r>
      <w:r w:rsidR="009D1BFC">
        <w:t xml:space="preserve">a </w:t>
      </w:r>
      <w:r w:rsidRPr="00F0766B">
        <w:t>person(s) with the authority to bind the owners and operators to the plan</w:t>
      </w:r>
      <w:r w:rsidR="00B121D2">
        <w:t>.</w:t>
      </w:r>
      <w:r w:rsidR="007961E1">
        <w:t xml:space="preserve"> This may include an authorized owner, operator, or designee of the rail company or an authorized representative of a company contracted to provide containment and clean up services.</w:t>
      </w:r>
      <w:r w:rsidR="00B121D2">
        <w:t xml:space="preserve"> </w:t>
      </w:r>
    </w:p>
    <w:p w14:paraId="306D7F95" w14:textId="310E4615" w:rsidR="00E9643C" w:rsidRPr="00F0766B" w:rsidRDefault="00E9643C" w:rsidP="00E9643C">
      <w:r>
        <w:t xml:space="preserve">Ecology has created a boilerplate </w:t>
      </w:r>
      <w:r w:rsidR="005905E5">
        <w:t xml:space="preserve">binding agreement </w:t>
      </w:r>
      <w:r>
        <w:t xml:space="preserve">form that plan holders </w:t>
      </w:r>
      <w:r w:rsidR="00EF51FC">
        <w:t>may</w:t>
      </w:r>
      <w:r>
        <w:t xml:space="preserve"> use:  </w:t>
      </w:r>
      <w:hyperlink r:id="rId15" w:history="1">
        <w:r w:rsidRPr="00F0766B">
          <w:rPr>
            <w:rStyle w:val="Hyperlink"/>
          </w:rPr>
          <w:t>ECY 070-612</w:t>
        </w:r>
      </w:hyperlink>
      <w:r w:rsidRPr="00F0766B">
        <w:t>.</w:t>
      </w:r>
    </w:p>
    <w:p w14:paraId="73C43385" w14:textId="7C27AE29" w:rsidR="00E9643C" w:rsidRPr="00CE3913" w:rsidRDefault="00E9643C" w:rsidP="00E9643C">
      <w:pPr>
        <w:pStyle w:val="Heading3"/>
      </w:pPr>
      <w:r w:rsidRPr="00CE3913">
        <w:t xml:space="preserve">Contingency plan general content </w:t>
      </w:r>
      <w:hyperlink r:id="rId16" w:history="1">
        <w:r w:rsidRPr="00CA3BD5">
          <w:rPr>
            <w:rStyle w:val="Hyperlink"/>
          </w:rPr>
          <w:t>(WAC </w:t>
        </w:r>
        <w:r w:rsidR="00B121D2" w:rsidRPr="00CA3BD5">
          <w:rPr>
            <w:rStyle w:val="Hyperlink"/>
            <w:bCs/>
          </w:rPr>
          <w:t>173-186-220</w:t>
        </w:r>
        <w:r w:rsidR="00D347BC" w:rsidRPr="00CA3BD5">
          <w:rPr>
            <w:rStyle w:val="Hyperlink"/>
          </w:rPr>
          <w:t>(3)(g</w:t>
        </w:r>
        <w:r w:rsidRPr="00CA3BD5">
          <w:rPr>
            <w:rStyle w:val="Hyperlink"/>
          </w:rPr>
          <w:t>)</w:t>
        </w:r>
        <w:r w:rsidR="00D347BC" w:rsidRPr="00CA3BD5">
          <w:rPr>
            <w:rStyle w:val="Hyperlink"/>
          </w:rPr>
          <w:t>(i)</w:t>
        </w:r>
        <w:r w:rsidRPr="00CA3BD5">
          <w:rPr>
            <w:rStyle w:val="Hyperlink"/>
          </w:rPr>
          <w:t>)</w:t>
        </w:r>
      </w:hyperlink>
      <w:r w:rsidRPr="00CE3913">
        <w:t>, contractor contact information.</w:t>
      </w:r>
    </w:p>
    <w:p w14:paraId="48F95E97" w14:textId="7F40E734" w:rsidR="00E9643C" w:rsidRPr="00CE3913" w:rsidRDefault="00DB0CB9" w:rsidP="00E9643C">
      <w:r>
        <w:t xml:space="preserve">Include </w:t>
      </w:r>
      <w:r w:rsidRPr="00CE3913">
        <w:t>the fo</w:t>
      </w:r>
      <w:r>
        <w:t>llowing information for each</w:t>
      </w:r>
      <w:r w:rsidRPr="00CE3913">
        <w:t xml:space="preserve"> </w:t>
      </w:r>
      <w:r>
        <w:t xml:space="preserve">contracted </w:t>
      </w:r>
      <w:r w:rsidR="00E9643C">
        <w:t>primary r</w:t>
      </w:r>
      <w:r w:rsidR="00E9643C" w:rsidRPr="00635D66">
        <w:t>espo</w:t>
      </w:r>
      <w:r w:rsidR="00E9643C">
        <w:t>nse c</w:t>
      </w:r>
      <w:r w:rsidR="00E9643C" w:rsidRPr="00635D66">
        <w:t>ontractor (PRC)</w:t>
      </w:r>
      <w:r w:rsidR="00B4061F">
        <w:t>,</w:t>
      </w:r>
      <w:r w:rsidR="00E9643C">
        <w:t xml:space="preserve"> spill management team (SMT), or wildlife response service provider (WSRP) </w:t>
      </w:r>
      <w:r>
        <w:t xml:space="preserve">used </w:t>
      </w:r>
      <w:r w:rsidR="00E9643C" w:rsidRPr="00635D66">
        <w:t>to</w:t>
      </w:r>
      <w:r w:rsidR="00E9643C" w:rsidRPr="00CE3913">
        <w:t xml:space="preserve"> meet </w:t>
      </w:r>
      <w:r>
        <w:t>planning standards</w:t>
      </w:r>
      <w:r w:rsidR="00E9643C" w:rsidRPr="00CE3913">
        <w:t>:</w:t>
      </w:r>
    </w:p>
    <w:p w14:paraId="21AEA8A4" w14:textId="77777777" w:rsidR="00E9643C" w:rsidRDefault="00E9643C" w:rsidP="00E9643C">
      <w:pPr>
        <w:pStyle w:val="ListParagraph"/>
        <w:numPr>
          <w:ilvl w:val="0"/>
          <w:numId w:val="3"/>
        </w:numPr>
      </w:pPr>
      <w:r w:rsidRPr="00CE3913">
        <w:t>24-hour phone number.</w:t>
      </w:r>
    </w:p>
    <w:p w14:paraId="448850A1" w14:textId="77777777" w:rsidR="00E9643C" w:rsidRPr="00CE3913" w:rsidRDefault="00E9643C" w:rsidP="00E9643C">
      <w:pPr>
        <w:pStyle w:val="ListParagraph"/>
        <w:numPr>
          <w:ilvl w:val="0"/>
          <w:numId w:val="3"/>
        </w:numPr>
      </w:pPr>
      <w:r w:rsidRPr="00CE3913">
        <w:t>Name, address, or other means of contact.</w:t>
      </w:r>
    </w:p>
    <w:p w14:paraId="3C89FB0B" w14:textId="77777777" w:rsidR="00E9643C" w:rsidRDefault="00E9643C" w:rsidP="00E9643C">
      <w:pPr>
        <w:pStyle w:val="ListParagraph"/>
        <w:numPr>
          <w:ilvl w:val="0"/>
          <w:numId w:val="3"/>
        </w:numPr>
      </w:pPr>
      <w:r w:rsidRPr="00CE3913">
        <w:t xml:space="preserve">A contract or letter summarizing </w:t>
      </w:r>
      <w:r>
        <w:t xml:space="preserve">the contract terms. </w:t>
      </w:r>
      <w:r w:rsidRPr="00CE3913">
        <w:t xml:space="preserve">If the contract is not in the plan, </w:t>
      </w:r>
      <w:r>
        <w:t xml:space="preserve">the plan should include </w:t>
      </w:r>
      <w:r w:rsidRPr="00CE3913">
        <w:t>a commitment that the contract will be made available to Ecology upon request.</w:t>
      </w:r>
    </w:p>
    <w:p w14:paraId="1470A493" w14:textId="1CD338C7" w:rsidR="00E9643C" w:rsidRPr="00626776" w:rsidRDefault="00E9643C" w:rsidP="00E9643C">
      <w:pPr>
        <w:pStyle w:val="Heading3"/>
      </w:pPr>
      <w:r>
        <w:t>Full description of SMTs</w:t>
      </w:r>
      <w:r w:rsidRPr="00626776">
        <w:t xml:space="preserve">, both internal and external </w:t>
      </w:r>
      <w:hyperlink r:id="rId17" w:history="1">
        <w:r w:rsidR="00B26DE6" w:rsidRPr="00CA3BD5">
          <w:rPr>
            <w:rStyle w:val="Hyperlink"/>
          </w:rPr>
          <w:t>(WAC 173-186-220(3</w:t>
        </w:r>
        <w:r w:rsidRPr="00CA3BD5">
          <w:rPr>
            <w:rStyle w:val="Hyperlink"/>
          </w:rPr>
          <w:t>)</w:t>
        </w:r>
        <w:r w:rsidR="00B26DE6" w:rsidRPr="00CA3BD5">
          <w:rPr>
            <w:rStyle w:val="Hyperlink"/>
          </w:rPr>
          <w:t>(h)(ii)</w:t>
        </w:r>
      </w:hyperlink>
    </w:p>
    <w:p w14:paraId="40664B22" w14:textId="01A43FFA" w:rsidR="00E9643C" w:rsidRPr="00AC6ABE" w:rsidRDefault="00E9643C" w:rsidP="00E9643C">
      <w:r w:rsidRPr="00AC6ABE">
        <w:t>Plan contains Spill Management Team information consistent with the Incident Command System</w:t>
      </w:r>
      <w:r w:rsidR="009030C7">
        <w:t xml:space="preserve"> (ICS)</w:t>
      </w:r>
      <w:r w:rsidRPr="00AC6ABE">
        <w:t xml:space="preserve"> and Northwest Area Contingency Plan </w:t>
      </w:r>
      <w:r w:rsidR="00DB0CB9">
        <w:t xml:space="preserve">(NWACP) </w:t>
      </w:r>
      <w:r w:rsidRPr="00AC6ABE">
        <w:t>including:</w:t>
      </w:r>
    </w:p>
    <w:p w14:paraId="2F5D25E1" w14:textId="7FA9B556" w:rsidR="00E9643C" w:rsidRPr="00AC6ABE" w:rsidRDefault="00E9643C" w:rsidP="00E9643C">
      <w:pPr>
        <w:pStyle w:val="ListParagraph"/>
        <w:numPr>
          <w:ilvl w:val="0"/>
          <w:numId w:val="4"/>
        </w:numPr>
      </w:pPr>
      <w:r w:rsidRPr="00AC6ABE">
        <w:t xml:space="preserve">A table </w:t>
      </w:r>
      <w:r w:rsidR="003A52ED">
        <w:t xml:space="preserve">(see example below ) </w:t>
      </w:r>
      <w:r w:rsidRPr="00AC6ABE">
        <w:t xml:space="preserve">detailing the names of personnel </w:t>
      </w:r>
      <w:r w:rsidR="00DB0CB9">
        <w:t xml:space="preserve">if internal, or the name of a contracted SMT, </w:t>
      </w:r>
      <w:r w:rsidRPr="00AC6ABE">
        <w:t>to fill the ICS roles as speci</w:t>
      </w:r>
      <w:r w:rsidR="00B26DE6">
        <w:t xml:space="preserve">fied in the table in </w:t>
      </w:r>
      <w:hyperlink r:id="rId18" w:history="1">
        <w:r w:rsidR="00B26DE6" w:rsidRPr="00CA3BD5">
          <w:rPr>
            <w:rStyle w:val="Hyperlink"/>
          </w:rPr>
          <w:t>WAC 173-186-220(h)(ii)</w:t>
        </w:r>
      </w:hyperlink>
      <w:r w:rsidRPr="00AC6ABE">
        <w:t>. Personnel may be listed a maximum of two times.</w:t>
      </w:r>
    </w:p>
    <w:p w14:paraId="17772810" w14:textId="12CFE727" w:rsidR="00B07424" w:rsidRDefault="00E9643C" w:rsidP="00E9643C">
      <w:pPr>
        <w:pStyle w:val="ListParagraph"/>
        <w:numPr>
          <w:ilvl w:val="0"/>
          <w:numId w:val="4"/>
        </w:numPr>
      </w:pPr>
      <w:r w:rsidRPr="00AC6ABE">
        <w:t>A description of the planning process that will be used to manage the spill</w:t>
      </w:r>
      <w:r w:rsidR="004B4A25">
        <w:t xml:space="preserve"> and job descriptions for SMT positions</w:t>
      </w:r>
      <w:r>
        <w:t>,</w:t>
      </w:r>
      <w:r w:rsidRPr="00AC6ABE">
        <w:t xml:space="preserve"> or reference to </w:t>
      </w:r>
      <w:r w:rsidR="004B4A25">
        <w:t xml:space="preserve">an </w:t>
      </w:r>
      <w:r w:rsidRPr="00AC6ABE">
        <w:t>In</w:t>
      </w:r>
      <w:r w:rsidR="00DB0CB9">
        <w:t>cident Management Handbook</w:t>
      </w:r>
      <w:r w:rsidR="004B4A25">
        <w:t xml:space="preserve"> that includes this </w:t>
      </w:r>
      <w:r w:rsidR="00567D1D">
        <w:t>information</w:t>
      </w:r>
      <w:r w:rsidR="004B4A25">
        <w:t xml:space="preserve">. The </w:t>
      </w:r>
      <w:r w:rsidR="00DB0CB9">
        <w:t xml:space="preserve">NWACP </w:t>
      </w:r>
      <w:r w:rsidR="004B4A25">
        <w:t>may be referenced rather than repeat the information.</w:t>
      </w:r>
      <w:r w:rsidR="00B07424">
        <w:t xml:space="preserve"> </w:t>
      </w:r>
    </w:p>
    <w:p w14:paraId="76CD2AF0" w14:textId="77777777" w:rsidR="00E9643C" w:rsidRPr="00AC6ABE" w:rsidRDefault="00E9643C" w:rsidP="00E9643C">
      <w:pPr>
        <w:pStyle w:val="ListParagraph"/>
        <w:numPr>
          <w:ilvl w:val="0"/>
          <w:numId w:val="4"/>
        </w:numPr>
      </w:pPr>
      <w:r w:rsidRPr="00AC6ABE">
        <w:t>Commitment to work in unified command within ICS.</w:t>
      </w:r>
    </w:p>
    <w:p w14:paraId="37F5260F" w14:textId="77777777" w:rsidR="00E9643C" w:rsidRDefault="00E9643C" w:rsidP="00E9643C">
      <w:pPr>
        <w:pStyle w:val="ListParagraph"/>
        <w:numPr>
          <w:ilvl w:val="0"/>
          <w:numId w:val="4"/>
        </w:numPr>
      </w:pPr>
      <w:r w:rsidRPr="00AC6ABE">
        <w:t xml:space="preserve">Detailed procedures for </w:t>
      </w:r>
      <w:r>
        <w:t xml:space="preserve">the </w:t>
      </w:r>
      <w:r w:rsidRPr="00AC6ABE">
        <w:t xml:space="preserve">orderly transition of initial response team </w:t>
      </w:r>
      <w:r>
        <w:t xml:space="preserve">staff </w:t>
      </w:r>
      <w:r w:rsidRPr="00AC6ABE">
        <w:t>to</w:t>
      </w:r>
      <w:r>
        <w:t xml:space="preserve"> incoming local,</w:t>
      </w:r>
      <w:r w:rsidRPr="00AC6ABE">
        <w:t xml:space="preserve"> regional</w:t>
      </w:r>
      <w:r>
        <w:t>,</w:t>
      </w:r>
      <w:r w:rsidRPr="00AC6ABE">
        <w:t xml:space="preserve"> or away teams, including </w:t>
      </w:r>
      <w:r>
        <w:t xml:space="preserve">transitions between </w:t>
      </w:r>
      <w:r w:rsidRPr="00AC6ABE">
        <w:t>shift changes.</w:t>
      </w:r>
    </w:p>
    <w:p w14:paraId="52C1E471" w14:textId="77777777" w:rsidR="00E9643C" w:rsidRDefault="00E9643C" w:rsidP="00E9643C">
      <w:pPr>
        <w:pStyle w:val="ListParagraph"/>
        <w:numPr>
          <w:ilvl w:val="0"/>
          <w:numId w:val="4"/>
        </w:numPr>
      </w:pPr>
      <w:r w:rsidRPr="00AC6ABE">
        <w:t xml:space="preserve">Detailed training program description </w:t>
      </w:r>
      <w:r>
        <w:t>for each SMT position including the</w:t>
      </w:r>
      <w:r w:rsidRPr="00AC6ABE">
        <w:t xml:space="preserve"> type and frequency </w:t>
      </w:r>
      <w:r>
        <w:t xml:space="preserve">of training </w:t>
      </w:r>
      <w:r w:rsidRPr="00AC6ABE">
        <w:t xml:space="preserve">provided </w:t>
      </w:r>
      <w:r>
        <w:t xml:space="preserve">to </w:t>
      </w:r>
      <w:r w:rsidRPr="00AC6ABE">
        <w:t xml:space="preserve">each SMT member. </w:t>
      </w:r>
    </w:p>
    <w:p w14:paraId="73659877" w14:textId="77777777" w:rsidR="00460649" w:rsidRDefault="00460649" w:rsidP="004606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800"/>
        <w:gridCol w:w="1710"/>
        <w:gridCol w:w="1890"/>
      </w:tblGrid>
      <w:tr w:rsidR="00460649" w14:paraId="2C5888CF" w14:textId="77777777" w:rsidTr="0031010C">
        <w:tc>
          <w:tcPr>
            <w:tcW w:w="3775" w:type="dxa"/>
          </w:tcPr>
          <w:p w14:paraId="1B971022" w14:textId="77777777" w:rsidR="00460649" w:rsidRPr="001141AE" w:rsidRDefault="00460649" w:rsidP="000A1B0A">
            <w:pPr>
              <w:rPr>
                <w:b/>
              </w:rPr>
            </w:pPr>
            <w:r w:rsidRPr="001141AE">
              <w:rPr>
                <w:b/>
              </w:rPr>
              <w:lastRenderedPageBreak/>
              <w:t>ICS Position</w:t>
            </w:r>
          </w:p>
        </w:tc>
        <w:tc>
          <w:tcPr>
            <w:tcW w:w="1800" w:type="dxa"/>
          </w:tcPr>
          <w:p w14:paraId="0D52A86B" w14:textId="77777777" w:rsidR="00460649" w:rsidRPr="001141AE" w:rsidRDefault="00460649" w:rsidP="000A1B0A">
            <w:pPr>
              <w:rPr>
                <w:b/>
              </w:rPr>
            </w:pPr>
            <w:r w:rsidRPr="001141AE">
              <w:rPr>
                <w:b/>
              </w:rPr>
              <w:t>Name</w:t>
            </w:r>
          </w:p>
        </w:tc>
        <w:tc>
          <w:tcPr>
            <w:tcW w:w="1710" w:type="dxa"/>
          </w:tcPr>
          <w:p w14:paraId="3713CFF6" w14:textId="77777777" w:rsidR="00460649" w:rsidRPr="001141AE" w:rsidRDefault="00460649" w:rsidP="000A1B0A">
            <w:pPr>
              <w:rPr>
                <w:b/>
              </w:rPr>
            </w:pPr>
            <w:r w:rsidRPr="001141AE">
              <w:rPr>
                <w:b/>
              </w:rPr>
              <w:t>Name</w:t>
            </w:r>
          </w:p>
        </w:tc>
        <w:tc>
          <w:tcPr>
            <w:tcW w:w="1890" w:type="dxa"/>
          </w:tcPr>
          <w:p w14:paraId="0E1DE7F6" w14:textId="77777777" w:rsidR="00460649" w:rsidRPr="001141AE" w:rsidRDefault="00460649" w:rsidP="000A1B0A">
            <w:pPr>
              <w:rPr>
                <w:b/>
              </w:rPr>
            </w:pPr>
            <w:r w:rsidRPr="001141AE">
              <w:rPr>
                <w:b/>
              </w:rPr>
              <w:t>Name</w:t>
            </w:r>
          </w:p>
        </w:tc>
      </w:tr>
      <w:tr w:rsidR="00460649" w14:paraId="582472C9" w14:textId="77777777" w:rsidTr="0031010C">
        <w:tc>
          <w:tcPr>
            <w:tcW w:w="3775" w:type="dxa"/>
          </w:tcPr>
          <w:p w14:paraId="5B8528C4" w14:textId="77777777" w:rsidR="00460649" w:rsidRDefault="00460649" w:rsidP="000A1B0A">
            <w:r>
              <w:t>Responsible Party Incident Commander</w:t>
            </w:r>
          </w:p>
        </w:tc>
        <w:tc>
          <w:tcPr>
            <w:tcW w:w="1800" w:type="dxa"/>
          </w:tcPr>
          <w:p w14:paraId="1E79D08E" w14:textId="77777777" w:rsidR="00460649" w:rsidRDefault="00460649" w:rsidP="000A1B0A"/>
        </w:tc>
        <w:tc>
          <w:tcPr>
            <w:tcW w:w="1710" w:type="dxa"/>
          </w:tcPr>
          <w:p w14:paraId="424299E6" w14:textId="77777777" w:rsidR="00460649" w:rsidRDefault="00460649" w:rsidP="000A1B0A"/>
        </w:tc>
        <w:tc>
          <w:tcPr>
            <w:tcW w:w="1890" w:type="dxa"/>
          </w:tcPr>
          <w:p w14:paraId="1016DCE2" w14:textId="77777777" w:rsidR="00460649" w:rsidRDefault="00460649" w:rsidP="000A1B0A"/>
        </w:tc>
      </w:tr>
      <w:tr w:rsidR="00460649" w14:paraId="786F447D" w14:textId="77777777" w:rsidTr="0031010C">
        <w:tc>
          <w:tcPr>
            <w:tcW w:w="3775" w:type="dxa"/>
          </w:tcPr>
          <w:p w14:paraId="09547B10" w14:textId="77777777" w:rsidR="00460649" w:rsidRDefault="00460649" w:rsidP="000A1B0A">
            <w:r>
              <w:t>Public Information Officer</w:t>
            </w:r>
          </w:p>
        </w:tc>
        <w:tc>
          <w:tcPr>
            <w:tcW w:w="1800" w:type="dxa"/>
          </w:tcPr>
          <w:p w14:paraId="0901D9D3" w14:textId="77777777" w:rsidR="00460649" w:rsidRDefault="00460649" w:rsidP="000A1B0A"/>
        </w:tc>
        <w:tc>
          <w:tcPr>
            <w:tcW w:w="1710" w:type="dxa"/>
          </w:tcPr>
          <w:p w14:paraId="270E324B" w14:textId="77777777" w:rsidR="00460649" w:rsidRDefault="00460649" w:rsidP="000A1B0A"/>
        </w:tc>
        <w:tc>
          <w:tcPr>
            <w:tcW w:w="1890" w:type="dxa"/>
          </w:tcPr>
          <w:p w14:paraId="66AC3B63" w14:textId="77777777" w:rsidR="00460649" w:rsidRDefault="00460649" w:rsidP="000A1B0A"/>
        </w:tc>
      </w:tr>
      <w:tr w:rsidR="00460649" w14:paraId="791887DB" w14:textId="77777777" w:rsidTr="0031010C">
        <w:tc>
          <w:tcPr>
            <w:tcW w:w="3775" w:type="dxa"/>
          </w:tcPr>
          <w:p w14:paraId="5FA37575" w14:textId="77777777" w:rsidR="00460649" w:rsidRDefault="00460649" w:rsidP="000A1B0A">
            <w:r>
              <w:t>Liaison Officer</w:t>
            </w:r>
          </w:p>
        </w:tc>
        <w:tc>
          <w:tcPr>
            <w:tcW w:w="1800" w:type="dxa"/>
          </w:tcPr>
          <w:p w14:paraId="1CDDE1B2" w14:textId="77777777" w:rsidR="00460649" w:rsidRDefault="00460649" w:rsidP="000A1B0A"/>
        </w:tc>
        <w:tc>
          <w:tcPr>
            <w:tcW w:w="1710" w:type="dxa"/>
          </w:tcPr>
          <w:p w14:paraId="07283B7D" w14:textId="77777777" w:rsidR="00460649" w:rsidRDefault="00460649" w:rsidP="000A1B0A"/>
        </w:tc>
        <w:tc>
          <w:tcPr>
            <w:tcW w:w="1890" w:type="dxa"/>
          </w:tcPr>
          <w:p w14:paraId="2D7EEB60" w14:textId="77777777" w:rsidR="00460649" w:rsidRDefault="00460649" w:rsidP="000A1B0A"/>
        </w:tc>
      </w:tr>
      <w:tr w:rsidR="00460649" w14:paraId="6A518F7E" w14:textId="77777777" w:rsidTr="0031010C">
        <w:tc>
          <w:tcPr>
            <w:tcW w:w="3775" w:type="dxa"/>
          </w:tcPr>
          <w:p w14:paraId="3D20CF6D" w14:textId="77777777" w:rsidR="00460649" w:rsidRDefault="00460649" w:rsidP="000A1B0A">
            <w:r>
              <w:t>Safety Officer</w:t>
            </w:r>
          </w:p>
        </w:tc>
        <w:tc>
          <w:tcPr>
            <w:tcW w:w="1800" w:type="dxa"/>
          </w:tcPr>
          <w:p w14:paraId="2EC24D9C" w14:textId="77777777" w:rsidR="00460649" w:rsidRDefault="00460649" w:rsidP="000A1B0A"/>
        </w:tc>
        <w:tc>
          <w:tcPr>
            <w:tcW w:w="1710" w:type="dxa"/>
          </w:tcPr>
          <w:p w14:paraId="6F28184F" w14:textId="77777777" w:rsidR="00460649" w:rsidRDefault="00460649" w:rsidP="000A1B0A"/>
        </w:tc>
        <w:tc>
          <w:tcPr>
            <w:tcW w:w="1890" w:type="dxa"/>
          </w:tcPr>
          <w:p w14:paraId="70398934" w14:textId="77777777" w:rsidR="00460649" w:rsidRDefault="00460649" w:rsidP="000A1B0A"/>
        </w:tc>
      </w:tr>
      <w:tr w:rsidR="00460649" w14:paraId="7C6EBB56" w14:textId="77777777" w:rsidTr="0031010C">
        <w:tc>
          <w:tcPr>
            <w:tcW w:w="3775" w:type="dxa"/>
          </w:tcPr>
          <w:p w14:paraId="55FABB80" w14:textId="77777777" w:rsidR="00460649" w:rsidRDefault="00460649" w:rsidP="000A1B0A">
            <w:r>
              <w:t>Operations Section Chief</w:t>
            </w:r>
          </w:p>
        </w:tc>
        <w:tc>
          <w:tcPr>
            <w:tcW w:w="1800" w:type="dxa"/>
          </w:tcPr>
          <w:p w14:paraId="0EF7F877" w14:textId="77777777" w:rsidR="00460649" w:rsidRDefault="00460649" w:rsidP="000A1B0A"/>
        </w:tc>
        <w:tc>
          <w:tcPr>
            <w:tcW w:w="1710" w:type="dxa"/>
          </w:tcPr>
          <w:p w14:paraId="5A03B456" w14:textId="77777777" w:rsidR="00460649" w:rsidRDefault="00460649" w:rsidP="000A1B0A"/>
        </w:tc>
        <w:tc>
          <w:tcPr>
            <w:tcW w:w="1890" w:type="dxa"/>
          </w:tcPr>
          <w:p w14:paraId="5B2A2F8B" w14:textId="77777777" w:rsidR="00460649" w:rsidRDefault="00460649" w:rsidP="000A1B0A"/>
        </w:tc>
      </w:tr>
      <w:tr w:rsidR="00460649" w14:paraId="0AF7D184" w14:textId="77777777" w:rsidTr="0031010C">
        <w:tc>
          <w:tcPr>
            <w:tcW w:w="3775" w:type="dxa"/>
          </w:tcPr>
          <w:p w14:paraId="3F15DC43" w14:textId="77777777" w:rsidR="00460649" w:rsidRDefault="00460649" w:rsidP="000A1B0A">
            <w:r>
              <w:t>Planning Section Chief</w:t>
            </w:r>
          </w:p>
        </w:tc>
        <w:tc>
          <w:tcPr>
            <w:tcW w:w="1800" w:type="dxa"/>
          </w:tcPr>
          <w:p w14:paraId="44AFC04B" w14:textId="77777777" w:rsidR="00460649" w:rsidRDefault="00460649" w:rsidP="000A1B0A"/>
        </w:tc>
        <w:tc>
          <w:tcPr>
            <w:tcW w:w="1710" w:type="dxa"/>
          </w:tcPr>
          <w:p w14:paraId="2570E1CD" w14:textId="77777777" w:rsidR="00460649" w:rsidRDefault="00460649" w:rsidP="000A1B0A"/>
        </w:tc>
        <w:tc>
          <w:tcPr>
            <w:tcW w:w="1890" w:type="dxa"/>
          </w:tcPr>
          <w:p w14:paraId="7693462B" w14:textId="77777777" w:rsidR="00460649" w:rsidRDefault="00460649" w:rsidP="000A1B0A"/>
        </w:tc>
      </w:tr>
      <w:tr w:rsidR="00460649" w14:paraId="3D533437" w14:textId="77777777" w:rsidTr="0031010C">
        <w:tc>
          <w:tcPr>
            <w:tcW w:w="3775" w:type="dxa"/>
          </w:tcPr>
          <w:p w14:paraId="602D6C06" w14:textId="2BC44D7B" w:rsidR="00460649" w:rsidRDefault="00B4061F" w:rsidP="000A1B0A">
            <w:r>
              <w:t>Finance</w:t>
            </w:r>
            <w:r w:rsidR="00460649">
              <w:t xml:space="preserve"> Section Chief</w:t>
            </w:r>
          </w:p>
        </w:tc>
        <w:tc>
          <w:tcPr>
            <w:tcW w:w="1800" w:type="dxa"/>
          </w:tcPr>
          <w:p w14:paraId="49960F6D" w14:textId="77777777" w:rsidR="00460649" w:rsidRDefault="00460649" w:rsidP="000A1B0A"/>
        </w:tc>
        <w:tc>
          <w:tcPr>
            <w:tcW w:w="1710" w:type="dxa"/>
          </w:tcPr>
          <w:p w14:paraId="1CDA9BFF" w14:textId="77777777" w:rsidR="00460649" w:rsidRDefault="00460649" w:rsidP="000A1B0A"/>
        </w:tc>
        <w:tc>
          <w:tcPr>
            <w:tcW w:w="1890" w:type="dxa"/>
          </w:tcPr>
          <w:p w14:paraId="099F3F7C" w14:textId="77777777" w:rsidR="00460649" w:rsidRDefault="00460649" w:rsidP="000A1B0A"/>
        </w:tc>
      </w:tr>
      <w:tr w:rsidR="00460649" w14:paraId="20BBF935" w14:textId="77777777" w:rsidTr="0031010C">
        <w:tc>
          <w:tcPr>
            <w:tcW w:w="3775" w:type="dxa"/>
          </w:tcPr>
          <w:p w14:paraId="3C06F65A" w14:textId="16932F43" w:rsidR="00460649" w:rsidRPr="001141AE" w:rsidRDefault="00B4061F" w:rsidP="000A1B0A">
            <w:r>
              <w:t>Logistics</w:t>
            </w:r>
            <w:r w:rsidR="00460649">
              <w:t xml:space="preserve"> Section Chief</w:t>
            </w:r>
          </w:p>
        </w:tc>
        <w:tc>
          <w:tcPr>
            <w:tcW w:w="1800" w:type="dxa"/>
          </w:tcPr>
          <w:p w14:paraId="7225A266" w14:textId="77777777" w:rsidR="00460649" w:rsidRDefault="00460649" w:rsidP="000A1B0A"/>
        </w:tc>
        <w:tc>
          <w:tcPr>
            <w:tcW w:w="1710" w:type="dxa"/>
          </w:tcPr>
          <w:p w14:paraId="28D41CBD" w14:textId="77777777" w:rsidR="00460649" w:rsidRDefault="00460649" w:rsidP="000A1B0A"/>
        </w:tc>
        <w:tc>
          <w:tcPr>
            <w:tcW w:w="1890" w:type="dxa"/>
          </w:tcPr>
          <w:p w14:paraId="6C5F57E6" w14:textId="77777777" w:rsidR="00460649" w:rsidRDefault="00460649" w:rsidP="000A1B0A"/>
        </w:tc>
      </w:tr>
      <w:tr w:rsidR="00460649" w14:paraId="59F98138" w14:textId="77777777" w:rsidTr="0031010C">
        <w:tc>
          <w:tcPr>
            <w:tcW w:w="3775" w:type="dxa"/>
          </w:tcPr>
          <w:p w14:paraId="68265A3F" w14:textId="77777777" w:rsidR="00460649" w:rsidRDefault="00460649" w:rsidP="000A1B0A">
            <w:r>
              <w:t>Air Operations Branch Director</w:t>
            </w:r>
          </w:p>
        </w:tc>
        <w:tc>
          <w:tcPr>
            <w:tcW w:w="1800" w:type="dxa"/>
          </w:tcPr>
          <w:p w14:paraId="22610E56" w14:textId="77777777" w:rsidR="00460649" w:rsidRDefault="00460649" w:rsidP="000A1B0A"/>
        </w:tc>
        <w:tc>
          <w:tcPr>
            <w:tcW w:w="3600" w:type="dxa"/>
            <w:gridSpan w:val="2"/>
            <w:vMerge w:val="restart"/>
            <w:shd w:val="clear" w:color="auto" w:fill="D9D9D9" w:themeFill="background1" w:themeFillShade="D9"/>
          </w:tcPr>
          <w:p w14:paraId="006FBEDB" w14:textId="77777777" w:rsidR="00460649" w:rsidRPr="001141AE" w:rsidRDefault="00460649" w:rsidP="000A1B0A">
            <w:pPr>
              <w:rPr>
                <w:highlight w:val="lightGray"/>
              </w:rPr>
            </w:pPr>
          </w:p>
        </w:tc>
      </w:tr>
      <w:tr w:rsidR="00460649" w14:paraId="3D6683FB" w14:textId="77777777" w:rsidTr="0031010C">
        <w:tc>
          <w:tcPr>
            <w:tcW w:w="3775" w:type="dxa"/>
          </w:tcPr>
          <w:p w14:paraId="53DF1AE2" w14:textId="77777777" w:rsidR="00460649" w:rsidRDefault="00460649" w:rsidP="000A1B0A">
            <w:r>
              <w:t>Situation Unit Leader</w:t>
            </w:r>
          </w:p>
        </w:tc>
        <w:tc>
          <w:tcPr>
            <w:tcW w:w="1800" w:type="dxa"/>
          </w:tcPr>
          <w:p w14:paraId="311737BB" w14:textId="77777777" w:rsidR="00460649" w:rsidRDefault="00460649" w:rsidP="000A1B0A"/>
        </w:tc>
        <w:tc>
          <w:tcPr>
            <w:tcW w:w="3600" w:type="dxa"/>
            <w:gridSpan w:val="2"/>
            <w:vMerge/>
            <w:shd w:val="clear" w:color="auto" w:fill="D9D9D9" w:themeFill="background1" w:themeFillShade="D9"/>
          </w:tcPr>
          <w:p w14:paraId="62C1BC6D" w14:textId="77777777" w:rsidR="00460649" w:rsidRPr="001141AE" w:rsidRDefault="00460649" w:rsidP="000A1B0A">
            <w:pPr>
              <w:rPr>
                <w:highlight w:val="lightGray"/>
              </w:rPr>
            </w:pPr>
          </w:p>
        </w:tc>
      </w:tr>
      <w:tr w:rsidR="00460649" w14:paraId="16490D34" w14:textId="77777777" w:rsidTr="0031010C">
        <w:tc>
          <w:tcPr>
            <w:tcW w:w="3775" w:type="dxa"/>
          </w:tcPr>
          <w:p w14:paraId="20E1FA9E" w14:textId="77777777" w:rsidR="00460649" w:rsidRDefault="00460649" w:rsidP="000A1B0A">
            <w:r>
              <w:t>Resources Unit Leader</w:t>
            </w:r>
          </w:p>
        </w:tc>
        <w:tc>
          <w:tcPr>
            <w:tcW w:w="1800" w:type="dxa"/>
          </w:tcPr>
          <w:p w14:paraId="18584F5A" w14:textId="77777777" w:rsidR="00460649" w:rsidRDefault="00460649" w:rsidP="000A1B0A"/>
        </w:tc>
        <w:tc>
          <w:tcPr>
            <w:tcW w:w="3600" w:type="dxa"/>
            <w:gridSpan w:val="2"/>
            <w:vMerge/>
            <w:shd w:val="clear" w:color="auto" w:fill="D9D9D9" w:themeFill="background1" w:themeFillShade="D9"/>
          </w:tcPr>
          <w:p w14:paraId="0EE8DBE8" w14:textId="77777777" w:rsidR="00460649" w:rsidRPr="001141AE" w:rsidRDefault="00460649" w:rsidP="000A1B0A">
            <w:pPr>
              <w:rPr>
                <w:highlight w:val="lightGray"/>
              </w:rPr>
            </w:pPr>
          </w:p>
        </w:tc>
      </w:tr>
      <w:tr w:rsidR="00460649" w14:paraId="56F33AD0" w14:textId="77777777" w:rsidTr="0031010C">
        <w:tc>
          <w:tcPr>
            <w:tcW w:w="3775" w:type="dxa"/>
          </w:tcPr>
          <w:p w14:paraId="0B8C4708" w14:textId="77777777" w:rsidR="00460649" w:rsidRDefault="00460649" w:rsidP="000A1B0A">
            <w:r>
              <w:t xml:space="preserve">Documentation Unit Leader </w:t>
            </w:r>
          </w:p>
        </w:tc>
        <w:tc>
          <w:tcPr>
            <w:tcW w:w="1800" w:type="dxa"/>
          </w:tcPr>
          <w:p w14:paraId="1F8DA7CB" w14:textId="77777777" w:rsidR="00460649" w:rsidRDefault="00460649" w:rsidP="000A1B0A"/>
        </w:tc>
        <w:tc>
          <w:tcPr>
            <w:tcW w:w="3600" w:type="dxa"/>
            <w:gridSpan w:val="2"/>
            <w:vMerge/>
            <w:shd w:val="clear" w:color="auto" w:fill="D9D9D9" w:themeFill="background1" w:themeFillShade="D9"/>
          </w:tcPr>
          <w:p w14:paraId="186ADED4" w14:textId="77777777" w:rsidR="00460649" w:rsidRPr="001141AE" w:rsidRDefault="00460649" w:rsidP="000A1B0A">
            <w:pPr>
              <w:rPr>
                <w:highlight w:val="lightGray"/>
              </w:rPr>
            </w:pPr>
          </w:p>
        </w:tc>
      </w:tr>
      <w:tr w:rsidR="00460649" w14:paraId="1652E70C" w14:textId="77777777" w:rsidTr="0031010C">
        <w:tc>
          <w:tcPr>
            <w:tcW w:w="3775" w:type="dxa"/>
          </w:tcPr>
          <w:p w14:paraId="4C24288F" w14:textId="77777777" w:rsidR="00460649" w:rsidRDefault="00460649" w:rsidP="000A1B0A">
            <w:r>
              <w:t>Environmental Unit Leader</w:t>
            </w:r>
          </w:p>
        </w:tc>
        <w:tc>
          <w:tcPr>
            <w:tcW w:w="1800" w:type="dxa"/>
          </w:tcPr>
          <w:p w14:paraId="2234DE7A" w14:textId="77777777" w:rsidR="00460649" w:rsidRDefault="00460649" w:rsidP="000A1B0A"/>
        </w:tc>
        <w:tc>
          <w:tcPr>
            <w:tcW w:w="3600" w:type="dxa"/>
            <w:gridSpan w:val="2"/>
            <w:vMerge/>
            <w:shd w:val="clear" w:color="auto" w:fill="D9D9D9" w:themeFill="background1" w:themeFillShade="D9"/>
          </w:tcPr>
          <w:p w14:paraId="6147B0B4" w14:textId="77777777" w:rsidR="00460649" w:rsidRPr="001141AE" w:rsidRDefault="00460649" w:rsidP="000A1B0A">
            <w:pPr>
              <w:rPr>
                <w:highlight w:val="lightGray"/>
              </w:rPr>
            </w:pPr>
          </w:p>
        </w:tc>
      </w:tr>
    </w:tbl>
    <w:p w14:paraId="0576824B" w14:textId="77777777" w:rsidR="00F6693F" w:rsidRPr="00F6693F" w:rsidRDefault="00F6693F" w:rsidP="00460649">
      <w:pPr>
        <w:rPr>
          <w:color w:val="70AD47" w:themeColor="accent6"/>
          <w:u w:val="single"/>
        </w:rPr>
      </w:pPr>
    </w:p>
    <w:p w14:paraId="2E711CF0" w14:textId="07C09EA3" w:rsidR="00E9643C" w:rsidRPr="001C7F4E" w:rsidRDefault="00B94DE2" w:rsidP="00E9643C">
      <w:pPr>
        <w:pStyle w:val="Heading3"/>
      </w:pPr>
      <w:r>
        <w:t>N</w:t>
      </w:r>
      <w:r w:rsidR="008811FF">
        <w:t>ew notification documentation form - f</w:t>
      </w:r>
      <w:r w:rsidR="00E9643C" w:rsidRPr="001C7F4E">
        <w:t>ield document (</w:t>
      </w:r>
      <w:hyperlink r:id="rId19" w:history="1">
        <w:r w:rsidR="00E9643C" w:rsidRPr="00CA3BD5">
          <w:rPr>
            <w:rStyle w:val="Hyperlink"/>
          </w:rPr>
          <w:t>WAC </w:t>
        </w:r>
        <w:r w:rsidR="00DD1DFC" w:rsidRPr="00CA3BD5">
          <w:rPr>
            <w:rStyle w:val="Hyperlink"/>
            <w:bCs/>
          </w:rPr>
          <w:t>173-186-230</w:t>
        </w:r>
      </w:hyperlink>
      <w:r w:rsidR="00E9643C" w:rsidRPr="001C7F4E">
        <w:t>).</w:t>
      </w:r>
    </w:p>
    <w:p w14:paraId="446FE4AD" w14:textId="3E419573" w:rsidR="00E9643C" w:rsidRDefault="00DB0CB9" w:rsidP="00E9643C">
      <w:r>
        <w:t>The plan is n</w:t>
      </w:r>
      <w:r w:rsidR="00E9643C">
        <w:t xml:space="preserve">ow required to include </w:t>
      </w:r>
      <w:r w:rsidR="00E9643C" w:rsidRPr="008F21BF">
        <w:t xml:space="preserve">a form </w:t>
      </w:r>
      <w:r w:rsidR="00E9643C" w:rsidRPr="00626776">
        <w:t>to document notifications made acco</w:t>
      </w:r>
      <w:r w:rsidR="00E9643C">
        <w:t>rding to the plan’s procedures</w:t>
      </w:r>
      <w:r w:rsidR="00FF0026">
        <w:t xml:space="preserve"> – this should be place</w:t>
      </w:r>
      <w:r w:rsidR="0097281E">
        <w:t>d</w:t>
      </w:r>
      <w:r w:rsidR="00FF0026">
        <w:t xml:space="preserve"> in the field document. </w:t>
      </w:r>
    </w:p>
    <w:p w14:paraId="70CFED34" w14:textId="77777777" w:rsidR="00BD7ACA" w:rsidRDefault="00920233" w:rsidP="00BD7ACA">
      <w:pPr>
        <w:spacing w:after="0"/>
      </w:pPr>
      <w:r>
        <w:rPr>
          <w:rFonts w:eastAsiaTheme="majorEastAsia" w:cstheme="majorBidi"/>
          <w:color w:val="2E74B5" w:themeColor="accent1" w:themeShade="BF"/>
          <w:szCs w:val="24"/>
        </w:rPr>
        <w:t>Format for a</w:t>
      </w:r>
      <w:r w:rsidR="00E17AB7" w:rsidRPr="00E17AB7">
        <w:rPr>
          <w:rFonts w:eastAsiaTheme="majorEastAsia" w:cstheme="majorBidi"/>
          <w:color w:val="2E74B5" w:themeColor="accent1" w:themeShade="BF"/>
          <w:szCs w:val="24"/>
        </w:rPr>
        <w:t xml:space="preserve"> notification documentation form</w:t>
      </w:r>
    </w:p>
    <w:p w14:paraId="2B64F3E8" w14:textId="0FEA154F" w:rsidR="00E9643C" w:rsidRDefault="00E9643C" w:rsidP="00BD7ACA">
      <w:pPr>
        <w:spacing w:after="0"/>
      </w:pPr>
      <w:r>
        <w:t>Ecology has created</w:t>
      </w:r>
      <w:r w:rsidR="00EF51FC">
        <w:t xml:space="preserve"> an</w:t>
      </w:r>
      <w:r w:rsidR="001B4469">
        <w:t xml:space="preserve"> example noti</w:t>
      </w:r>
      <w:r>
        <w:t>fication form</w:t>
      </w:r>
      <w:r w:rsidR="001B4469">
        <w:t xml:space="preserve"> </w:t>
      </w:r>
      <w:r w:rsidR="009030C7">
        <w:t>that</w:t>
      </w:r>
      <w:r w:rsidR="001B4469">
        <w:t xml:space="preserve"> </w:t>
      </w:r>
      <w:r w:rsidR="00EF51FC">
        <w:t>may</w:t>
      </w:r>
      <w:r w:rsidR="001B4469">
        <w:t xml:space="preserve"> be </w:t>
      </w:r>
      <w:r>
        <w:t>amend</w:t>
      </w:r>
      <w:r w:rsidR="001B4469">
        <w:t>ed</w:t>
      </w:r>
      <w:r>
        <w:t xml:space="preserve"> to fit </w:t>
      </w:r>
      <w:r w:rsidR="001B4469">
        <w:t>you</w:t>
      </w:r>
      <w:r w:rsidR="008811FF">
        <w:t>r</w:t>
      </w:r>
      <w:r>
        <w:t xml:space="preserve"> needs</w:t>
      </w:r>
      <w:r w:rsidR="00852998">
        <w:t>. Another</w:t>
      </w:r>
      <w:r w:rsidR="005905E5">
        <w:t xml:space="preserve"> </w:t>
      </w:r>
      <w:r w:rsidR="009030C7">
        <w:t xml:space="preserve">example is </w:t>
      </w:r>
      <w:r w:rsidR="005905E5">
        <w:t xml:space="preserve">in the </w:t>
      </w:r>
      <w:hyperlink r:id="rId20" w:history="1">
        <w:r w:rsidR="005905E5" w:rsidRPr="009030C7">
          <w:rPr>
            <w:rStyle w:val="Hyperlink"/>
          </w:rPr>
          <w:t>rail boilerplate plan</w:t>
        </w:r>
      </w:hyperlink>
      <w:r w:rsidR="009030C7">
        <w:t>:</w:t>
      </w:r>
    </w:p>
    <w:tbl>
      <w:tblPr>
        <w:tblW w:w="8036" w:type="dxa"/>
        <w:tblLook w:val="04A0" w:firstRow="1" w:lastRow="0" w:firstColumn="1" w:lastColumn="0" w:noHBand="0" w:noVBand="1"/>
      </w:tblPr>
      <w:tblGrid>
        <w:gridCol w:w="2302"/>
        <w:gridCol w:w="1875"/>
        <w:gridCol w:w="2061"/>
        <w:gridCol w:w="1798"/>
      </w:tblGrid>
      <w:tr w:rsidR="00D9648C" w:rsidRPr="00835888" w14:paraId="70BE477D" w14:textId="77777777" w:rsidTr="00835888">
        <w:trPr>
          <w:trHeight w:val="360"/>
        </w:trPr>
        <w:tc>
          <w:tcPr>
            <w:tcW w:w="8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D2D6" w14:textId="77777777" w:rsidR="00D9648C" w:rsidRPr="00835888" w:rsidRDefault="00D9648C" w:rsidP="00D9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35888">
              <w:rPr>
                <w:rFonts w:eastAsia="Times New Roman" w:cstheme="minorHAnsi"/>
                <w:color w:val="000000"/>
                <w:sz w:val="28"/>
                <w:szCs w:val="28"/>
              </w:rPr>
              <w:t>Notification Flow Chart &amp; Documentation Template</w:t>
            </w:r>
          </w:p>
        </w:tc>
      </w:tr>
      <w:tr w:rsidR="00D9648C" w:rsidRPr="00835888" w14:paraId="47D7C2CA" w14:textId="77777777" w:rsidTr="00835888">
        <w:trPr>
          <w:trHeight w:val="288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67E4" w14:textId="77777777" w:rsidR="00D9648C" w:rsidRPr="00835888" w:rsidRDefault="00D9648C" w:rsidP="00D9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7BCF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6FD7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7B6C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9648C" w:rsidRPr="00835888" w14:paraId="4C14F566" w14:textId="77777777" w:rsidTr="00835888">
        <w:trPr>
          <w:trHeight w:val="30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C82F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BBF8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D8B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95D0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9648C" w:rsidRPr="00835888" w14:paraId="21C03A41" w14:textId="77777777" w:rsidTr="00835888">
        <w:trPr>
          <w:trHeight w:val="300"/>
        </w:trPr>
        <w:tc>
          <w:tcPr>
            <w:tcW w:w="80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723AB" w14:textId="77777777" w:rsidR="00D9648C" w:rsidRPr="00835888" w:rsidRDefault="00D9648C" w:rsidP="00D9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Internal Notifications</w:t>
            </w:r>
          </w:p>
        </w:tc>
      </w:tr>
      <w:tr w:rsidR="00D9648C" w:rsidRPr="00835888" w14:paraId="0EFA5926" w14:textId="77777777" w:rsidTr="00835888">
        <w:trPr>
          <w:trHeight w:val="300"/>
        </w:trPr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8F00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Person to Contact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E676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Phone Number(s)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398D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Person Notified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7934A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Time &amp; Date</w:t>
            </w:r>
          </w:p>
        </w:tc>
      </w:tr>
      <w:tr w:rsidR="00D9648C" w:rsidRPr="00835888" w14:paraId="0BDFFEA6" w14:textId="77777777" w:rsidTr="00835888">
        <w:trPr>
          <w:trHeight w:val="288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C36C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DE0D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6E10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157BF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9648C" w:rsidRPr="00835888" w14:paraId="710A01A4" w14:textId="77777777" w:rsidTr="00835888">
        <w:trPr>
          <w:trHeight w:val="288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BFD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1FE7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B656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5DDC8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9648C" w:rsidRPr="00835888" w14:paraId="50B6D30F" w14:textId="77777777" w:rsidTr="00835888">
        <w:trPr>
          <w:trHeight w:val="288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F56E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3262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700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905F9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9648C" w:rsidRPr="00835888" w14:paraId="3276F17A" w14:textId="77777777" w:rsidTr="00835888">
        <w:trPr>
          <w:trHeight w:val="30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C9BB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D842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4733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F46AB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9648C" w:rsidRPr="00835888" w14:paraId="194B500D" w14:textId="77777777" w:rsidTr="00835888">
        <w:trPr>
          <w:trHeight w:val="30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A9C4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92E1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D9648C" w:rsidRPr="00835888" w14:paraId="04DF20CE" w14:textId="77777777">
              <w:trPr>
                <w:trHeight w:val="300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290EF" w14:textId="77777777" w:rsidR="00D9648C" w:rsidRPr="00835888" w:rsidRDefault="00D9648C" w:rsidP="00D9648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</w:tbl>
          <w:p w14:paraId="7EFA3B99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8B2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6847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9648C" w:rsidRPr="00835888" w14:paraId="427051DF" w14:textId="77777777" w:rsidTr="00835888">
        <w:trPr>
          <w:trHeight w:val="300"/>
        </w:trPr>
        <w:tc>
          <w:tcPr>
            <w:tcW w:w="80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AB78B" w14:textId="77777777" w:rsidR="00D9648C" w:rsidRPr="00835888" w:rsidRDefault="00835888" w:rsidP="00D9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6E94C1E" wp14:editId="2F19F078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-285750</wp:posOffset>
                      </wp:positionV>
                      <wp:extent cx="289560" cy="198120"/>
                      <wp:effectExtent l="26670" t="0" r="41910" b="4191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9560" cy="1981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5E51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186pt;margin-top:-22.5pt;width:22.8pt;height:15.6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" adj="14211" fillcolor="black [3200]" strokecolor="black [1600]" strokeweight="1pt"/>
                  </w:pict>
                </mc:Fallback>
              </mc:AlternateContent>
            </w:r>
            <w:r w:rsidR="00D9648C" w:rsidRPr="00835888">
              <w:rPr>
                <w:rFonts w:eastAsia="Times New Roman" w:cstheme="minorHAnsi"/>
                <w:color w:val="000000"/>
              </w:rPr>
              <w:t>Response Contractors</w:t>
            </w:r>
          </w:p>
        </w:tc>
      </w:tr>
      <w:tr w:rsidR="00D9648C" w:rsidRPr="00835888" w14:paraId="2C1CC602" w14:textId="77777777" w:rsidTr="00835888">
        <w:trPr>
          <w:trHeight w:val="300"/>
        </w:trPr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B3F2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Contact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63F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Phone Number(s)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7FA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Person Notified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ECA89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Time &amp; Date</w:t>
            </w:r>
          </w:p>
        </w:tc>
      </w:tr>
      <w:tr w:rsidR="00D9648C" w:rsidRPr="00835888" w14:paraId="7073F96E" w14:textId="77777777" w:rsidTr="00835888">
        <w:trPr>
          <w:trHeight w:val="288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534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ADB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F423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EB0DD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9648C" w:rsidRPr="00835888" w14:paraId="61B5B8F5" w14:textId="77777777" w:rsidTr="00835888">
        <w:trPr>
          <w:trHeight w:val="288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E793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A90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D6B7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B115C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9648C" w:rsidRPr="00835888" w14:paraId="73EDC621" w14:textId="77777777" w:rsidTr="00835888">
        <w:trPr>
          <w:trHeight w:val="288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743C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47D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35DA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8A6A4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9648C" w:rsidRPr="00835888" w14:paraId="557C69A0" w14:textId="77777777" w:rsidTr="00835888">
        <w:trPr>
          <w:trHeight w:val="30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D734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9911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FD57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9B61E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9648C" w:rsidRPr="00835888" w14:paraId="64E4106C" w14:textId="77777777" w:rsidTr="00835888">
        <w:trPr>
          <w:trHeight w:val="58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F8F7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ED67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12AEFB5" wp14:editId="373AAA8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0</wp:posOffset>
                      </wp:positionV>
                      <wp:extent cx="281940" cy="182880"/>
                      <wp:effectExtent l="0" t="7620" r="34290" b="34290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5260" cy="2362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1D414" id="Right Arrow 6" o:spid="_x0000_s1026" type="#_x0000_t13" style="position:absolute;margin-left:69.6pt;margin-top:0;width:22.2pt;height:14.4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" adj="108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61CF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D9648C" w:rsidRPr="00835888" w14:paraId="4E75D5AC" w14:textId="77777777" w:rsidTr="00835888">
        <w:trPr>
          <w:trHeight w:val="430"/>
        </w:trPr>
        <w:tc>
          <w:tcPr>
            <w:tcW w:w="80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6F15A" w14:textId="77777777" w:rsidR="00D9648C" w:rsidRPr="00835888" w:rsidRDefault="00D9648C" w:rsidP="00D9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Government/External Notifications</w:t>
            </w:r>
          </w:p>
        </w:tc>
      </w:tr>
      <w:tr w:rsidR="00D9648C" w:rsidRPr="00835888" w14:paraId="31CFDD25" w14:textId="77777777" w:rsidTr="00835888">
        <w:trPr>
          <w:trHeight w:val="961"/>
        </w:trPr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085F" w14:textId="77777777" w:rsidR="00D9648C" w:rsidRPr="00835888" w:rsidRDefault="00D9648C" w:rsidP="00D9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lastRenderedPageBreak/>
              <w:t>Contact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D2AB" w14:textId="77777777" w:rsidR="00D9648C" w:rsidRPr="00835888" w:rsidRDefault="00D9648C" w:rsidP="00D9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Phone Number(s)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BFC5" w14:textId="77777777" w:rsidR="00D9648C" w:rsidRPr="00835888" w:rsidRDefault="00D9648C" w:rsidP="00D9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Person Notified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38D48" w14:textId="77777777" w:rsidR="00D9648C" w:rsidRPr="00835888" w:rsidRDefault="00D9648C" w:rsidP="00D9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Time, Date, &amp; Case ID/</w:t>
            </w:r>
            <w:r w:rsidR="00E17AB7" w:rsidRPr="00835888">
              <w:rPr>
                <w:rFonts w:eastAsia="Times New Roman" w:cstheme="minorHAnsi"/>
                <w:color w:val="000000"/>
              </w:rPr>
              <w:t xml:space="preserve">Incident </w:t>
            </w:r>
            <w:r w:rsidRPr="00835888">
              <w:rPr>
                <w:rFonts w:eastAsia="Times New Roman" w:cstheme="minorHAnsi"/>
                <w:color w:val="000000"/>
              </w:rPr>
              <w:t>Record #</w:t>
            </w:r>
          </w:p>
        </w:tc>
      </w:tr>
      <w:tr w:rsidR="00D9648C" w:rsidRPr="00835888" w14:paraId="263556E5" w14:textId="77777777" w:rsidTr="00835888">
        <w:trPr>
          <w:trHeight w:val="664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B40E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USCG National Response Center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27DF" w14:textId="74A3672F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  <w:r w:rsidR="00B4061F">
              <w:rPr>
                <w:rFonts w:eastAsia="Times New Roman" w:cstheme="minorHAnsi"/>
                <w:color w:val="000000"/>
              </w:rPr>
              <w:t>1-800-424-8802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64FC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402A0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9648C" w:rsidRPr="00835888" w14:paraId="6B98A79C" w14:textId="77777777" w:rsidTr="00835888">
        <w:trPr>
          <w:trHeight w:val="701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4D75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WA Emergency Management Division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64AD" w14:textId="75AE060E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  <w:r w:rsidR="00B4061F">
              <w:rPr>
                <w:rFonts w:eastAsia="Times New Roman" w:cstheme="minorHAnsi"/>
                <w:color w:val="000000"/>
              </w:rPr>
              <w:t>800-258-5990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F081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84C6C" w14:textId="77777777" w:rsidR="00D9648C" w:rsidRPr="00835888" w:rsidRDefault="00D9648C" w:rsidP="00D9648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5888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5A62FB2A" w14:textId="77777777" w:rsidR="00D9648C" w:rsidRPr="00835888" w:rsidRDefault="00D9648C" w:rsidP="00E9643C">
      <w:pPr>
        <w:pStyle w:val="Heading3"/>
        <w:rPr>
          <w:rFonts w:cstheme="minorHAnsi"/>
        </w:rPr>
      </w:pPr>
    </w:p>
    <w:p w14:paraId="078F728C" w14:textId="77777777" w:rsidR="00E9643C" w:rsidRDefault="00E9643C" w:rsidP="00E9643C">
      <w:pPr>
        <w:pStyle w:val="Heading3"/>
      </w:pPr>
      <w:r w:rsidRPr="009D60F4">
        <w:t>Planning standard for spills of oils that, depending on their chemical properties, environmental factors (weathering), and method of discharge, may submerge or sink (</w:t>
      </w:r>
      <w:r w:rsidRPr="00804D63">
        <w:t>WAC </w:t>
      </w:r>
      <w:r w:rsidR="00804D63">
        <w:rPr>
          <w:bCs/>
        </w:rPr>
        <w:t>173-186-330</w:t>
      </w:r>
      <w:r w:rsidRPr="009D60F4">
        <w:t>).</w:t>
      </w:r>
    </w:p>
    <w:p w14:paraId="252A1929" w14:textId="2865C95F" w:rsidR="00E9643C" w:rsidRPr="009D60F4" w:rsidRDefault="00E9643C" w:rsidP="00E9643C">
      <w:r w:rsidRPr="009D60F4">
        <w:t xml:space="preserve">The plan holder or contracted PRC must have </w:t>
      </w:r>
      <w:r w:rsidR="000F0BB4">
        <w:t xml:space="preserve">personnel, </w:t>
      </w:r>
      <w:r w:rsidRPr="000F0BB4">
        <w:t>equipment</w:t>
      </w:r>
      <w:r w:rsidR="000F0BB4">
        <w:t>, and procedures in</w:t>
      </w:r>
      <w:r w:rsidRPr="009D60F4">
        <w:t xml:space="preserve"> </w:t>
      </w:r>
      <w:r w:rsidR="000F0BB4">
        <w:t xml:space="preserve">place </w:t>
      </w:r>
      <w:r w:rsidRPr="009D60F4">
        <w:t>within the time fr</w:t>
      </w:r>
      <w:r w:rsidR="00804D63">
        <w:t xml:space="preserve">ames outlined in </w:t>
      </w:r>
      <w:hyperlink r:id="rId21" w:history="1">
        <w:r w:rsidR="00804D63" w:rsidRPr="00CA3BD5">
          <w:rPr>
            <w:rStyle w:val="Hyperlink"/>
          </w:rPr>
          <w:t>WAC 173-186-330</w:t>
        </w:r>
      </w:hyperlink>
      <w:r w:rsidRPr="009D60F4">
        <w:t>, including:</w:t>
      </w:r>
    </w:p>
    <w:p w14:paraId="5B140B7D" w14:textId="2FC9D71F" w:rsidR="00804D63" w:rsidRDefault="00804D63" w:rsidP="00E9643C">
      <w:pPr>
        <w:pStyle w:val="ListParagraph"/>
        <w:numPr>
          <w:ilvl w:val="0"/>
          <w:numId w:val="10"/>
        </w:numPr>
      </w:pPr>
      <w:r>
        <w:t xml:space="preserve">The process for identifying the potential of the oil handled to </w:t>
      </w:r>
      <w:r w:rsidR="00FF0026">
        <w:t>become non-floating</w:t>
      </w:r>
      <w:r>
        <w:t>.</w:t>
      </w:r>
    </w:p>
    <w:p w14:paraId="2B09B332" w14:textId="571B1D04" w:rsidR="00E9643C" w:rsidRPr="009D60F4" w:rsidRDefault="00FF0026" w:rsidP="00E9643C">
      <w:pPr>
        <w:pStyle w:val="ListParagraph"/>
        <w:numPr>
          <w:ilvl w:val="0"/>
          <w:numId w:val="10"/>
        </w:numPr>
      </w:pPr>
      <w:r>
        <w:t>A description of the</w:t>
      </w:r>
      <w:r w:rsidR="00E9643C" w:rsidRPr="009D60F4">
        <w:t xml:space="preserve"> process for detecting, delineating, and recovering non</w:t>
      </w:r>
      <w:r w:rsidR="00E8699B">
        <w:t>-</w:t>
      </w:r>
      <w:r w:rsidR="00E9643C" w:rsidRPr="009D60F4">
        <w:t xml:space="preserve">floating oils in the areas that may be impacted. </w:t>
      </w:r>
    </w:p>
    <w:p w14:paraId="2E2C5783" w14:textId="6EEC0B5C" w:rsidR="00E9643C" w:rsidRPr="009D60F4" w:rsidRDefault="00E9643C" w:rsidP="00E9643C">
      <w:pPr>
        <w:pStyle w:val="ListParagraph"/>
        <w:numPr>
          <w:ilvl w:val="0"/>
          <w:numId w:val="10"/>
        </w:numPr>
      </w:pPr>
      <w:r w:rsidRPr="009D60F4">
        <w:t>If non</w:t>
      </w:r>
      <w:r w:rsidR="00E8699B">
        <w:t>-</w:t>
      </w:r>
      <w:r w:rsidRPr="009D60F4">
        <w:t>floating oils response details are not in the plan, the plan contains a citation of the non</w:t>
      </w:r>
      <w:r w:rsidR="00E8699B">
        <w:t>-</w:t>
      </w:r>
      <w:r w:rsidRPr="009D60F4">
        <w:t>floating oils response tool</w:t>
      </w:r>
      <w:r w:rsidR="00231912">
        <w:t xml:space="preserve"> </w:t>
      </w:r>
      <w:hyperlink r:id="rId22" w:history="1">
        <w:r w:rsidR="00231912" w:rsidRPr="00231912">
          <w:rPr>
            <w:rStyle w:val="Hyperlink"/>
          </w:rPr>
          <w:t>NWACP Section 9412</w:t>
        </w:r>
      </w:hyperlink>
      <w:r w:rsidRPr="009D60F4">
        <w:t xml:space="preserve">. </w:t>
      </w:r>
    </w:p>
    <w:p w14:paraId="762607F7" w14:textId="080DC303" w:rsidR="00E9643C" w:rsidRDefault="00E9643C" w:rsidP="00E9643C">
      <w:pPr>
        <w:pStyle w:val="ListParagraph"/>
        <w:numPr>
          <w:ilvl w:val="0"/>
          <w:numId w:val="10"/>
        </w:numPr>
      </w:pPr>
      <w:r w:rsidRPr="009D60F4">
        <w:t>If applicable, a contract or letter with the referenced PRC summarizing coverage, dated within last 5 years and signed by the PRC.</w:t>
      </w:r>
    </w:p>
    <w:p w14:paraId="77478A6A" w14:textId="021087DF" w:rsidR="00E9643C" w:rsidRDefault="00E9643C" w:rsidP="00E9643C">
      <w:pPr>
        <w:pStyle w:val="Heading3"/>
      </w:pPr>
      <w:r w:rsidRPr="00312E91">
        <w:t>Planning standards for wildlife response (</w:t>
      </w:r>
      <w:hyperlink r:id="rId23" w:history="1">
        <w:r w:rsidRPr="00CA3BD5">
          <w:rPr>
            <w:rStyle w:val="Hyperlink"/>
          </w:rPr>
          <w:t>WAC </w:t>
        </w:r>
        <w:r w:rsidR="00DD1DFC" w:rsidRPr="00CA3BD5">
          <w:rPr>
            <w:rStyle w:val="Hyperlink"/>
            <w:bCs/>
          </w:rPr>
          <w:t>173-186-370</w:t>
        </w:r>
      </w:hyperlink>
      <w:r w:rsidRPr="00312E91">
        <w:t>)</w:t>
      </w:r>
    </w:p>
    <w:p w14:paraId="0E96047D" w14:textId="7606FB8E" w:rsidR="001B4469" w:rsidRDefault="001B4469" w:rsidP="00E9643C">
      <w:pPr>
        <w:rPr>
          <w:rFonts w:eastAsia="Times New Roman" w:cstheme="minorHAnsi"/>
          <w:bCs/>
        </w:rPr>
      </w:pPr>
      <w:r>
        <w:rPr>
          <w:bCs/>
        </w:rPr>
        <w:t>Plan holders</w:t>
      </w:r>
      <w:r w:rsidR="00E9643C" w:rsidRPr="00312E91">
        <w:rPr>
          <w:bCs/>
        </w:rPr>
        <w:t xml:space="preserve"> must plan to respond to and care for wildlife injured or endangered by oil spills. Plan holder contingency plans must reference th</w:t>
      </w:r>
      <w:r w:rsidR="00231912">
        <w:rPr>
          <w:bCs/>
        </w:rPr>
        <w:t>e</w:t>
      </w:r>
      <w:r w:rsidR="00E9643C" w:rsidRPr="00312E91">
        <w:rPr>
          <w:bCs/>
        </w:rPr>
        <w:t xml:space="preserve"> NWACP and all actions must be conducted in accordance with applicable federal and state regulations</w:t>
      </w:r>
      <w:r w:rsidR="00060C20">
        <w:rPr>
          <w:bCs/>
        </w:rPr>
        <w:t xml:space="preserve"> and the</w:t>
      </w:r>
      <w:r w:rsidR="00EF51FC">
        <w:rPr>
          <w:bCs/>
        </w:rPr>
        <w:t xml:space="preserve"> NWACP</w:t>
      </w:r>
      <w:r w:rsidR="00E9643C" w:rsidRPr="00312E91">
        <w:rPr>
          <w:bCs/>
        </w:rPr>
        <w:t>.</w:t>
      </w:r>
      <w:r w:rsidR="00E9643C" w:rsidRPr="00312E91">
        <w:rPr>
          <w:rFonts w:eastAsia="Times New Roman" w:cstheme="minorHAnsi"/>
          <w:bCs/>
        </w:rPr>
        <w:t xml:space="preserve"> </w:t>
      </w:r>
    </w:p>
    <w:p w14:paraId="2C36EC2E" w14:textId="77777777" w:rsidR="00E9643C" w:rsidRPr="00312E91" w:rsidRDefault="00E9643C" w:rsidP="00E9643C">
      <w:pPr>
        <w:rPr>
          <w:bCs/>
        </w:rPr>
      </w:pPr>
      <w:r>
        <w:rPr>
          <w:bCs/>
        </w:rPr>
        <w:t>At a minimum, the plan must include:</w:t>
      </w:r>
    </w:p>
    <w:p w14:paraId="520F6019" w14:textId="77777777" w:rsidR="00E9643C" w:rsidRPr="00312E91" w:rsidRDefault="00E9643C" w:rsidP="00E9643C">
      <w:pPr>
        <w:pStyle w:val="ListParagraph"/>
        <w:numPr>
          <w:ilvl w:val="0"/>
          <w:numId w:val="11"/>
        </w:numPr>
      </w:pPr>
      <w:r w:rsidRPr="00312E91">
        <w:t>Description of, and commitment to comply with, federal, state, and NWACP permits and requirements for wildlife response and rehabilitation.</w:t>
      </w:r>
    </w:p>
    <w:p w14:paraId="32E6928C" w14:textId="6AF96899" w:rsidR="00E9643C" w:rsidRPr="00312E91" w:rsidRDefault="001B4469" w:rsidP="00E9643C">
      <w:pPr>
        <w:pStyle w:val="ListParagraph"/>
        <w:numPr>
          <w:ilvl w:val="0"/>
          <w:numId w:val="11"/>
        </w:numPr>
      </w:pPr>
      <w:r>
        <w:t xml:space="preserve">Access, under </w:t>
      </w:r>
      <w:r w:rsidR="00E9643C" w:rsidRPr="00312E91">
        <w:t xml:space="preserve">contract or other approvable means, </w:t>
      </w:r>
      <w:r>
        <w:t xml:space="preserve">to </w:t>
      </w:r>
      <w:r w:rsidR="00E9643C" w:rsidRPr="00312E91">
        <w:t>the equipment, personnel, permits, materials, and supplies, for conducting wildlife response operations in accordance with the capabilitie</w:t>
      </w:r>
      <w:r w:rsidR="004B4A25">
        <w:t>s detailed in WAC 173-186-370</w:t>
      </w:r>
      <w:r w:rsidR="00BD7ACA">
        <w:t>(1), (2), (3), and (4</w:t>
      </w:r>
      <w:r w:rsidR="00E9643C" w:rsidRPr="00312E91">
        <w:t>).</w:t>
      </w:r>
    </w:p>
    <w:p w14:paraId="5290DB2D" w14:textId="261538E5" w:rsidR="00E9643C" w:rsidRPr="00312E91" w:rsidRDefault="00E9643C" w:rsidP="00E9643C">
      <w:pPr>
        <w:pStyle w:val="ListParagraph"/>
        <w:numPr>
          <w:ilvl w:val="0"/>
          <w:numId w:val="11"/>
        </w:numPr>
      </w:pPr>
      <w:r w:rsidRPr="00312E91">
        <w:t>A description of the equipment, personnel, and resources for wildlife respons</w:t>
      </w:r>
      <w:r w:rsidR="00BD7ACA">
        <w:t>e as required in WAC 173-186-370</w:t>
      </w:r>
      <w:r w:rsidRPr="00312E91">
        <w:t>(2).</w:t>
      </w:r>
    </w:p>
    <w:p w14:paraId="1A3530C8" w14:textId="77777777" w:rsidR="00E9643C" w:rsidRPr="00312E91" w:rsidRDefault="00E9643C" w:rsidP="00E9643C">
      <w:pPr>
        <w:pStyle w:val="ListParagraph"/>
        <w:numPr>
          <w:ilvl w:val="0"/>
          <w:numId w:val="11"/>
        </w:numPr>
      </w:pPr>
      <w:r w:rsidRPr="00312E91">
        <w:t>Cont</w:t>
      </w:r>
      <w:r>
        <w:t>r</w:t>
      </w:r>
      <w:r w:rsidRPr="00312E91">
        <w:t xml:space="preserve">acted access to approved WRSP personnel to conduct and manage </w:t>
      </w:r>
      <w:r>
        <w:t xml:space="preserve">the </w:t>
      </w:r>
      <w:r w:rsidRPr="00312E91">
        <w:t xml:space="preserve">wildlife response.  </w:t>
      </w:r>
    </w:p>
    <w:p w14:paraId="059D1D8F" w14:textId="7AB7DC39" w:rsidR="009A308B" w:rsidRDefault="00E9643C" w:rsidP="00567D1D">
      <w:r>
        <w:t xml:space="preserve">The approved WRSP and PRC applications may be referenced to </w:t>
      </w:r>
      <w:r w:rsidR="008811FF">
        <w:t xml:space="preserve">partially </w:t>
      </w:r>
      <w:r w:rsidR="001B4469">
        <w:t>meet</w:t>
      </w:r>
      <w:r>
        <w:t xml:space="preserve"> this requirement. </w:t>
      </w:r>
    </w:p>
    <w:p w14:paraId="4FAC3A4D" w14:textId="63EB26ED" w:rsidR="00BD7ACA" w:rsidRPr="00563C52" w:rsidRDefault="00BD7ACA" w:rsidP="00BD7ACA">
      <w:pPr>
        <w:pStyle w:val="Heading3"/>
      </w:pPr>
      <w:r>
        <w:t>Type and frequency of drills (</w:t>
      </w:r>
      <w:hyperlink r:id="rId24" w:history="1">
        <w:r w:rsidRPr="00CA3BD5">
          <w:rPr>
            <w:rStyle w:val="Hyperlink"/>
          </w:rPr>
          <w:t>WAC 173-186-510</w:t>
        </w:r>
      </w:hyperlink>
      <w:r>
        <w:t xml:space="preserve"> and </w:t>
      </w:r>
      <w:hyperlink r:id="rId25" w:history="1">
        <w:r w:rsidRPr="00CA3BD5">
          <w:rPr>
            <w:rStyle w:val="Hyperlink"/>
          </w:rPr>
          <w:t>173-</w:t>
        </w:r>
        <w:r w:rsidRPr="00CA3BD5">
          <w:rPr>
            <w:rStyle w:val="Hyperlink"/>
          </w:rPr>
          <w:t>1</w:t>
        </w:r>
        <w:r w:rsidRPr="00CA3BD5">
          <w:rPr>
            <w:rStyle w:val="Hyperlink"/>
          </w:rPr>
          <w:t>86-530</w:t>
        </w:r>
      </w:hyperlink>
      <w:r>
        <w:t>).</w:t>
      </w:r>
    </w:p>
    <w:p w14:paraId="61DD6C56" w14:textId="3B89634F" w:rsidR="00060C20" w:rsidRDefault="00BD7ACA" w:rsidP="00CA3BD5">
      <w:r>
        <w:t>Include a statement in the plan committing to participating in</w:t>
      </w:r>
      <w:r w:rsidRPr="001C7F4E">
        <w:t xml:space="preserve"> </w:t>
      </w:r>
      <w:r>
        <w:t xml:space="preserve">the </w:t>
      </w:r>
      <w:r w:rsidRPr="001276EA">
        <w:t>large scale equipment deployment drill</w:t>
      </w:r>
      <w:r>
        <w:t>s.</w:t>
      </w:r>
      <w:r w:rsidR="008F21BF">
        <w:t xml:space="preserve"> </w:t>
      </w:r>
    </w:p>
    <w:p w14:paraId="046E522E" w14:textId="6EFB4BF2" w:rsidR="00C02386" w:rsidRPr="008811FF" w:rsidRDefault="00BD7ACA" w:rsidP="004067C9">
      <w:r>
        <w:t>The section describing other ways to get drill credit (</w:t>
      </w:r>
      <w:hyperlink r:id="rId26" w:history="1">
        <w:r w:rsidRPr="00743848">
          <w:rPr>
            <w:rStyle w:val="Hyperlink"/>
          </w:rPr>
          <w:t>WAC 173-186-530</w:t>
        </w:r>
      </w:hyperlink>
      <w:r>
        <w:t xml:space="preserve">) was updated. A spill can now only count for credit once per triennial cycle, unless approved by Ecology. </w:t>
      </w:r>
    </w:p>
    <w:sectPr w:rsidR="00C02386" w:rsidRPr="008811FF" w:rsidSect="00DA0643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49EBE" w14:textId="77777777" w:rsidR="000A1B0A" w:rsidRDefault="000A1B0A">
      <w:pPr>
        <w:spacing w:after="0" w:line="240" w:lineRule="auto"/>
      </w:pPr>
      <w:r>
        <w:separator/>
      </w:r>
    </w:p>
  </w:endnote>
  <w:endnote w:type="continuationSeparator" w:id="0">
    <w:p w14:paraId="2A361FF5" w14:textId="77777777" w:rsidR="000A1B0A" w:rsidRDefault="000A1B0A">
      <w:pPr>
        <w:spacing w:after="0" w:line="240" w:lineRule="auto"/>
      </w:pPr>
      <w:r>
        <w:continuationSeparator/>
      </w:r>
    </w:p>
  </w:endnote>
  <w:endnote w:type="continuationNotice" w:id="1">
    <w:p w14:paraId="0B22910C" w14:textId="77777777" w:rsidR="00154F3F" w:rsidRDefault="00154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87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71592" w14:textId="01C1E097" w:rsidR="000A1B0A" w:rsidRDefault="000A1B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7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A36B29" w14:textId="77777777" w:rsidR="000A1B0A" w:rsidRDefault="000A1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631C7" w14:textId="77777777" w:rsidR="000A1B0A" w:rsidRDefault="000A1B0A">
      <w:pPr>
        <w:spacing w:after="0" w:line="240" w:lineRule="auto"/>
      </w:pPr>
      <w:r>
        <w:separator/>
      </w:r>
    </w:p>
  </w:footnote>
  <w:footnote w:type="continuationSeparator" w:id="0">
    <w:p w14:paraId="62117B88" w14:textId="77777777" w:rsidR="000A1B0A" w:rsidRDefault="000A1B0A">
      <w:pPr>
        <w:spacing w:after="0" w:line="240" w:lineRule="auto"/>
      </w:pPr>
      <w:r>
        <w:continuationSeparator/>
      </w:r>
    </w:p>
  </w:footnote>
  <w:footnote w:type="continuationNotice" w:id="1">
    <w:p w14:paraId="16B1A15F" w14:textId="77777777" w:rsidR="00154F3F" w:rsidRDefault="00154F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2B0"/>
    <w:multiLevelType w:val="hybridMultilevel"/>
    <w:tmpl w:val="F938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81A"/>
    <w:multiLevelType w:val="hybridMultilevel"/>
    <w:tmpl w:val="668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C2FE8"/>
    <w:multiLevelType w:val="multilevel"/>
    <w:tmpl w:val="1AB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07E8F"/>
    <w:multiLevelType w:val="hybridMultilevel"/>
    <w:tmpl w:val="021A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71B9"/>
    <w:multiLevelType w:val="hybridMultilevel"/>
    <w:tmpl w:val="451E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6E47"/>
    <w:multiLevelType w:val="hybridMultilevel"/>
    <w:tmpl w:val="B348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907D8"/>
    <w:multiLevelType w:val="hybridMultilevel"/>
    <w:tmpl w:val="3B36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7B24"/>
    <w:multiLevelType w:val="hybridMultilevel"/>
    <w:tmpl w:val="8F2E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B59F4"/>
    <w:multiLevelType w:val="hybridMultilevel"/>
    <w:tmpl w:val="4FDA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4051"/>
    <w:multiLevelType w:val="hybridMultilevel"/>
    <w:tmpl w:val="484E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76CE7"/>
    <w:multiLevelType w:val="hybridMultilevel"/>
    <w:tmpl w:val="7034174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FBF7BD2"/>
    <w:multiLevelType w:val="hybridMultilevel"/>
    <w:tmpl w:val="E86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95E75"/>
    <w:multiLevelType w:val="multilevel"/>
    <w:tmpl w:val="CE74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E1"/>
    <w:rsid w:val="00031567"/>
    <w:rsid w:val="00050961"/>
    <w:rsid w:val="00060C20"/>
    <w:rsid w:val="0006302E"/>
    <w:rsid w:val="000745CA"/>
    <w:rsid w:val="000A1B0A"/>
    <w:rsid w:val="000F0BB4"/>
    <w:rsid w:val="0011408D"/>
    <w:rsid w:val="001276EA"/>
    <w:rsid w:val="00151BFD"/>
    <w:rsid w:val="00154F3F"/>
    <w:rsid w:val="001B4469"/>
    <w:rsid w:val="001C7F4E"/>
    <w:rsid w:val="00212B4E"/>
    <w:rsid w:val="00231912"/>
    <w:rsid w:val="002C7EA5"/>
    <w:rsid w:val="002D0F03"/>
    <w:rsid w:val="0031010C"/>
    <w:rsid w:val="00312E91"/>
    <w:rsid w:val="00335622"/>
    <w:rsid w:val="00372329"/>
    <w:rsid w:val="00386975"/>
    <w:rsid w:val="003A52ED"/>
    <w:rsid w:val="003F0066"/>
    <w:rsid w:val="003F29DE"/>
    <w:rsid w:val="004067C9"/>
    <w:rsid w:val="00460649"/>
    <w:rsid w:val="004831C7"/>
    <w:rsid w:val="004A75BA"/>
    <w:rsid w:val="004B4A25"/>
    <w:rsid w:val="004B79E7"/>
    <w:rsid w:val="004D5875"/>
    <w:rsid w:val="004E64A3"/>
    <w:rsid w:val="00567D1D"/>
    <w:rsid w:val="005727E3"/>
    <w:rsid w:val="005905E5"/>
    <w:rsid w:val="00635D66"/>
    <w:rsid w:val="006A7239"/>
    <w:rsid w:val="006D5BEF"/>
    <w:rsid w:val="006E04E5"/>
    <w:rsid w:val="006F2E9D"/>
    <w:rsid w:val="006F4BE1"/>
    <w:rsid w:val="007101FF"/>
    <w:rsid w:val="00743848"/>
    <w:rsid w:val="00744E94"/>
    <w:rsid w:val="007961E1"/>
    <w:rsid w:val="007A2222"/>
    <w:rsid w:val="007D01AF"/>
    <w:rsid w:val="00804D63"/>
    <w:rsid w:val="00835888"/>
    <w:rsid w:val="00852998"/>
    <w:rsid w:val="00862FBB"/>
    <w:rsid w:val="008811FF"/>
    <w:rsid w:val="008A111F"/>
    <w:rsid w:val="008F21BF"/>
    <w:rsid w:val="009030C7"/>
    <w:rsid w:val="00920233"/>
    <w:rsid w:val="009361C5"/>
    <w:rsid w:val="0097281E"/>
    <w:rsid w:val="00975D28"/>
    <w:rsid w:val="009A308B"/>
    <w:rsid w:val="009C19CE"/>
    <w:rsid w:val="009D1BFC"/>
    <w:rsid w:val="009D60F4"/>
    <w:rsid w:val="00A46678"/>
    <w:rsid w:val="00A829CC"/>
    <w:rsid w:val="00AA1B09"/>
    <w:rsid w:val="00AC6ABE"/>
    <w:rsid w:val="00AE14A6"/>
    <w:rsid w:val="00B07424"/>
    <w:rsid w:val="00B121D2"/>
    <w:rsid w:val="00B26DE6"/>
    <w:rsid w:val="00B32A6A"/>
    <w:rsid w:val="00B33E0C"/>
    <w:rsid w:val="00B4061F"/>
    <w:rsid w:val="00B94DE2"/>
    <w:rsid w:val="00BC104B"/>
    <w:rsid w:val="00BD7ACA"/>
    <w:rsid w:val="00C02386"/>
    <w:rsid w:val="00C40A60"/>
    <w:rsid w:val="00C5745C"/>
    <w:rsid w:val="00C60AF5"/>
    <w:rsid w:val="00C63059"/>
    <w:rsid w:val="00CA30C0"/>
    <w:rsid w:val="00CA3BD5"/>
    <w:rsid w:val="00CE3913"/>
    <w:rsid w:val="00D00FB4"/>
    <w:rsid w:val="00D20513"/>
    <w:rsid w:val="00D347BC"/>
    <w:rsid w:val="00D749A8"/>
    <w:rsid w:val="00D9648C"/>
    <w:rsid w:val="00DA0643"/>
    <w:rsid w:val="00DB0CB9"/>
    <w:rsid w:val="00DD1DFC"/>
    <w:rsid w:val="00DE0EB8"/>
    <w:rsid w:val="00E17AB7"/>
    <w:rsid w:val="00E37AC4"/>
    <w:rsid w:val="00E65571"/>
    <w:rsid w:val="00E8699B"/>
    <w:rsid w:val="00E9643C"/>
    <w:rsid w:val="00EF51FC"/>
    <w:rsid w:val="00F0766B"/>
    <w:rsid w:val="00F6693F"/>
    <w:rsid w:val="00FD548C"/>
    <w:rsid w:val="00FF0026"/>
    <w:rsid w:val="61D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A1C8"/>
  <w15:chartTrackingRefBased/>
  <w15:docId w15:val="{133822CF-7708-4A02-B617-9A7B4D86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43C"/>
  </w:style>
  <w:style w:type="paragraph" w:styleId="Heading1">
    <w:name w:val="heading 1"/>
    <w:basedOn w:val="Normal"/>
    <w:next w:val="Normal"/>
    <w:link w:val="Heading1Char"/>
    <w:uiPriority w:val="9"/>
    <w:qFormat/>
    <w:rsid w:val="006F4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BE1"/>
    <w:pPr>
      <w:keepNext/>
      <w:keepLines/>
      <w:spacing w:before="40" w:after="0"/>
      <w:outlineLvl w:val="2"/>
    </w:pPr>
    <w:rPr>
      <w:rFonts w:eastAsiaTheme="majorEastAsia" w:cstheme="majorBidi"/>
      <w:color w:val="2E74B5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4BE1"/>
    <w:rPr>
      <w:rFonts w:eastAsiaTheme="majorEastAsia" w:cstheme="majorBidi"/>
      <w:color w:val="2E74B5" w:themeColor="accent1" w:themeShade="BF"/>
      <w:szCs w:val="24"/>
    </w:rPr>
  </w:style>
  <w:style w:type="paragraph" w:styleId="ListParagraph">
    <w:name w:val="List Paragraph"/>
    <w:basedOn w:val="Normal"/>
    <w:uiPriority w:val="34"/>
    <w:qFormat/>
    <w:rsid w:val="006F4BE1"/>
    <w:pPr>
      <w:ind w:left="720"/>
      <w:contextualSpacing/>
    </w:pPr>
  </w:style>
  <w:style w:type="table" w:styleId="TableGrid">
    <w:name w:val="Table Grid"/>
    <w:basedOn w:val="TableNormal"/>
    <w:uiPriority w:val="39"/>
    <w:rsid w:val="006F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E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F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F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F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F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F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F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6F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F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F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B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1"/>
  </w:style>
  <w:style w:type="paragraph" w:styleId="Footer">
    <w:name w:val="footer"/>
    <w:basedOn w:val="Normal"/>
    <w:link w:val="FooterChar"/>
    <w:uiPriority w:val="99"/>
    <w:unhideWhenUsed/>
    <w:rsid w:val="006F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1"/>
  </w:style>
  <w:style w:type="character" w:styleId="PageNumber">
    <w:name w:val="page number"/>
    <w:basedOn w:val="DefaultParagraphFont"/>
    <w:uiPriority w:val="99"/>
    <w:semiHidden/>
    <w:unhideWhenUsed/>
    <w:rsid w:val="006F4BE1"/>
  </w:style>
  <w:style w:type="table" w:customStyle="1" w:styleId="TableGrid11">
    <w:name w:val="Table Grid11"/>
    <w:basedOn w:val="TableNormal"/>
    <w:next w:val="TableGrid"/>
    <w:uiPriority w:val="59"/>
    <w:rsid w:val="006F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6F4BE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style81">
    <w:name w:val="style81"/>
    <w:basedOn w:val="DefaultParagraphFont"/>
    <w:rsid w:val="006F4BE1"/>
    <w:rPr>
      <w:rFonts w:ascii="Verdana" w:hAnsi="Verdana"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6F4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BE1"/>
    <w:rPr>
      <w:b/>
      <w:bCs/>
      <w:sz w:val="20"/>
      <w:szCs w:val="20"/>
    </w:rPr>
  </w:style>
  <w:style w:type="paragraph" w:customStyle="1" w:styleId="DescriptionLangauge">
    <w:name w:val="Description Langauge"/>
    <w:basedOn w:val="NormalWeb"/>
    <w:link w:val="DescriptionLangaugeChar"/>
    <w:qFormat/>
    <w:rsid w:val="006F4BE1"/>
    <w:pPr>
      <w:spacing w:before="0" w:beforeAutospacing="0" w:after="0" w:afterAutospacing="0"/>
    </w:pPr>
    <w:rPr>
      <w:i/>
      <w:lang w:val="en"/>
    </w:rPr>
  </w:style>
  <w:style w:type="character" w:customStyle="1" w:styleId="NormalWebChar">
    <w:name w:val="Normal (Web) Char"/>
    <w:basedOn w:val="DefaultParagraphFont"/>
    <w:link w:val="NormalWeb"/>
    <w:uiPriority w:val="99"/>
    <w:rsid w:val="006F4BE1"/>
    <w:rPr>
      <w:rFonts w:ascii="Verdana" w:eastAsia="Times New Roman" w:hAnsi="Verdana" w:cs="Times New Roman"/>
      <w:sz w:val="20"/>
      <w:szCs w:val="20"/>
    </w:rPr>
  </w:style>
  <w:style w:type="character" w:customStyle="1" w:styleId="DescriptionLangaugeChar">
    <w:name w:val="Description Langauge Char"/>
    <w:basedOn w:val="NormalWebChar"/>
    <w:link w:val="DescriptionLangauge"/>
    <w:rsid w:val="006F4BE1"/>
    <w:rPr>
      <w:rFonts w:ascii="Verdana" w:eastAsia="Times New Roman" w:hAnsi="Verdana" w:cs="Times New Roman"/>
      <w:i/>
      <w:sz w:val="20"/>
      <w:szCs w:val="20"/>
      <w:lang w:val="en"/>
    </w:rPr>
  </w:style>
  <w:style w:type="paragraph" w:styleId="NoSpacing">
    <w:name w:val="No Spacing"/>
    <w:uiPriority w:val="1"/>
    <w:qFormat/>
    <w:rsid w:val="00B32A6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C104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E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E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EB8"/>
    <w:rPr>
      <w:vertAlign w:val="superscript"/>
    </w:rPr>
  </w:style>
  <w:style w:type="paragraph" w:styleId="Revision">
    <w:name w:val="Revision"/>
    <w:hidden/>
    <w:uiPriority w:val="99"/>
    <w:semiHidden/>
    <w:rsid w:val="00406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5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4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07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88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ology.wa.gov/Regulations-Permits/Plans-policies/Contingency-planning-for-oil-industry/Rule-implementation" TargetMode="External"/><Relationship Id="rId18" Type="http://schemas.openxmlformats.org/officeDocument/2006/relationships/hyperlink" Target="https://apps.leg.wa.gov/wac/default.aspx?cite=173-186-220" TargetMode="External"/><Relationship Id="rId26" Type="http://schemas.openxmlformats.org/officeDocument/2006/relationships/hyperlink" Target="https://apps.leg.wa.gov/WAC/default.aspx?cite=173-186-53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s.leg.wa.gov/WAC/default.aspx?cite=173-186-330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apps.leg.wa.gov/wac/default.aspx?cite=173-186-220" TargetMode="External"/><Relationship Id="rId25" Type="http://schemas.openxmlformats.org/officeDocument/2006/relationships/hyperlink" Target="https://apps.leg.wa.gov/WAC/default.aspx?cite=173-186-5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s.leg.wa.gov/wac/default.aspx?cite=173-186-220" TargetMode="External"/><Relationship Id="rId20" Type="http://schemas.openxmlformats.org/officeDocument/2006/relationships/hyperlink" Target="https://ecology.wa.gov/Asset-Collections/Doc-Assets/Spills/Preparing-for-spills/Contingency-plan-templat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pp.leg.wa.gov/wac/default.aspx?cite=173-186-510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fortress.wa.gov/ecy/publications/SummaryPages/ECY070612.html" TargetMode="External"/><Relationship Id="rId23" Type="http://schemas.openxmlformats.org/officeDocument/2006/relationships/hyperlink" Target="https://apps.leg.wa.gov/WAC/default.aspx?cite=173-186-370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apps.leg.wa.gov/wac/default.aspx?cite=173-186-23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s.leg.wa.gov/WAC/default.aspx?cite=173-186-210" TargetMode="External"/><Relationship Id="rId22" Type="http://schemas.openxmlformats.org/officeDocument/2006/relationships/hyperlink" Target="https://rrt10nwac.com/NWACP/Default.asp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7F79D0CA914B865C00167B2AC73C" ma:contentTypeVersion="2" ma:contentTypeDescription="Create a new document." ma:contentTypeScope="" ma:versionID="21090ec3c605ceb889ee3846b8fa5bae">
  <xsd:schema xmlns:xsd="http://www.w3.org/2001/XMLSchema" xmlns:xs="http://www.w3.org/2001/XMLSchema" xmlns:p="http://schemas.microsoft.com/office/2006/metadata/properties" xmlns:ns1="http://schemas.microsoft.com/sharepoint/v3" xmlns:ns2="23f7b63c-28ca-4f09-8e20-ea03ef5a4833" targetNamespace="http://schemas.microsoft.com/office/2006/metadata/properties" ma:root="true" ma:fieldsID="7f767ae8df34553f40959eceba381d09" ns1:_="" ns2:_="">
    <xsd:import namespace="http://schemas.microsoft.com/sharepoint/v3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3f7b63c-28ca-4f09-8e20-ea03ef5a4833">Z6YZZR5WAEWY-1050027246-57</_dlc_DocId>
    <_dlc_DocIdUrl xmlns="23f7b63c-28ca-4f09-8e20-ea03ef5a4833">
      <Url>http://teams/sites/SPPR/preparedness/RuleImp/_layouts/15/DocIdRedir.aspx?ID=Z6YZZR5WAEWY-1050027246-57</Url>
      <Description>Z6YZZR5WAEWY-1050027246-57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AF1C-C021-4FBB-839C-3B0FE718C2F2}"/>
</file>

<file path=customXml/itemProps2.xml><?xml version="1.0" encoding="utf-8"?>
<ds:datastoreItem xmlns:ds="http://schemas.openxmlformats.org/officeDocument/2006/customXml" ds:itemID="{1D9E3472-F078-447C-93E6-34604A4188DD}"/>
</file>

<file path=customXml/itemProps3.xml><?xml version="1.0" encoding="utf-8"?>
<ds:datastoreItem xmlns:ds="http://schemas.openxmlformats.org/officeDocument/2006/customXml" ds:itemID="{21139C38-6BF5-4B8B-9A49-9DCBD63291A1}"/>
</file>

<file path=customXml/itemProps4.xml><?xml version="1.0" encoding="utf-8"?>
<ds:datastoreItem xmlns:ds="http://schemas.openxmlformats.org/officeDocument/2006/customXml" ds:itemID="{A21FC0EA-5176-4319-AD11-247EF29A040C}"/>
</file>

<file path=customXml/itemProps5.xml><?xml version="1.0" encoding="utf-8"?>
<ds:datastoreItem xmlns:ds="http://schemas.openxmlformats.org/officeDocument/2006/customXml" ds:itemID="{653C4444-2358-43BF-9F29-88A52AC99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Prater, David (ECY)</dc:creator>
  <cp:keywords/>
  <dc:description/>
  <cp:lastModifiedBy>Prater, David (ECY)</cp:lastModifiedBy>
  <cp:revision>17</cp:revision>
  <dcterms:created xsi:type="dcterms:W3CDTF">2020-06-03T13:33:00Z</dcterms:created>
  <dcterms:modified xsi:type="dcterms:W3CDTF">2021-03-25T17:42:00Z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0x0101009B907F79D0CA914B865C00167B2AC73C</vt:lpwstr>
  </property>
  <property fmtid="{D5CDD505-2E9C-101B-9397-08002B2CF9AE}" pid="3" name="_dlc_DocIdItemGuid">
    <vt:lpwstr>6c7aa4a1-9730-457c-ac46-7d3b20d5f0fe</vt:lpwstr>
  </property>
</Properties>
</file>