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1798D" w14:textId="77777777" w:rsidR="00455D40" w:rsidRPr="006D5F60" w:rsidRDefault="00FF0428" w:rsidP="00FF0428">
      <w:pPr>
        <w:spacing w:after="0"/>
        <w:jc w:val="center"/>
        <w:rPr>
          <w:b/>
          <w:sz w:val="28"/>
        </w:rPr>
      </w:pPr>
      <w:r w:rsidRPr="006D5F60">
        <w:rPr>
          <w:b/>
          <w:sz w:val="28"/>
        </w:rPr>
        <w:t>Webinar Summary</w:t>
      </w:r>
    </w:p>
    <w:p w14:paraId="2490E4AD" w14:textId="77777777" w:rsidR="00FF0428" w:rsidRPr="006D5F60" w:rsidRDefault="00FF0428" w:rsidP="00FF0428">
      <w:pPr>
        <w:spacing w:after="0"/>
        <w:jc w:val="center"/>
        <w:rPr>
          <w:b/>
          <w:sz w:val="28"/>
        </w:rPr>
      </w:pPr>
      <w:r w:rsidRPr="006D5F60">
        <w:rPr>
          <w:b/>
          <w:sz w:val="28"/>
        </w:rPr>
        <w:t>Greenhouse Gas Assessment for Projects (GAP) Rule, Chapter 173-445 WAC</w:t>
      </w:r>
    </w:p>
    <w:p w14:paraId="65A17B24" w14:textId="77777777" w:rsidR="00FF0428" w:rsidRPr="006D5F60" w:rsidRDefault="00FF0428" w:rsidP="00FF0428">
      <w:pPr>
        <w:spacing w:after="0"/>
        <w:jc w:val="center"/>
        <w:rPr>
          <w:b/>
          <w:sz w:val="28"/>
        </w:rPr>
      </w:pPr>
      <w:r w:rsidRPr="006D5F60">
        <w:rPr>
          <w:b/>
          <w:sz w:val="28"/>
        </w:rPr>
        <w:t>Ju</w:t>
      </w:r>
      <w:r w:rsidR="00203501">
        <w:rPr>
          <w:b/>
          <w:sz w:val="28"/>
        </w:rPr>
        <w:t xml:space="preserve">ly </w:t>
      </w:r>
      <w:r w:rsidRPr="006D5F60">
        <w:rPr>
          <w:b/>
          <w:sz w:val="28"/>
        </w:rPr>
        <w:t>2</w:t>
      </w:r>
      <w:r w:rsidR="00203501">
        <w:rPr>
          <w:b/>
          <w:sz w:val="28"/>
        </w:rPr>
        <w:t>3</w:t>
      </w:r>
      <w:r w:rsidRPr="006D5F60">
        <w:rPr>
          <w:b/>
          <w:sz w:val="28"/>
        </w:rPr>
        <w:t>, 2020</w:t>
      </w:r>
    </w:p>
    <w:p w14:paraId="7EFDFA0D" w14:textId="77777777" w:rsidR="006D5F60" w:rsidRDefault="006D5F60">
      <w:pPr>
        <w:rPr>
          <w:b/>
          <w:color w:val="2E74B5" w:themeColor="accent1" w:themeShade="BF"/>
          <w:sz w:val="24"/>
        </w:rPr>
      </w:pPr>
    </w:p>
    <w:p w14:paraId="706ECD17" w14:textId="77777777" w:rsidR="00FF0428" w:rsidRPr="00FF0428" w:rsidRDefault="00FF0428">
      <w:pPr>
        <w:rPr>
          <w:b/>
          <w:color w:val="2E74B5" w:themeColor="accent1" w:themeShade="BF"/>
          <w:sz w:val="24"/>
        </w:rPr>
      </w:pPr>
      <w:r w:rsidRPr="00FF0428">
        <w:rPr>
          <w:b/>
          <w:color w:val="2E74B5" w:themeColor="accent1" w:themeShade="BF"/>
          <w:sz w:val="24"/>
        </w:rPr>
        <w:t>Overview of Ecology Presentation</w:t>
      </w:r>
    </w:p>
    <w:p w14:paraId="65BEDBAC" w14:textId="77777777" w:rsidR="00FF0428" w:rsidRPr="00FF0428" w:rsidRDefault="00FF0428" w:rsidP="00FF0428">
      <w:pPr>
        <w:spacing w:after="0"/>
        <w:rPr>
          <w:sz w:val="24"/>
        </w:rPr>
      </w:pPr>
      <w:r w:rsidRPr="00FF0428">
        <w:rPr>
          <w:sz w:val="24"/>
        </w:rPr>
        <w:t>The presentation slides and video are available at:</w:t>
      </w:r>
    </w:p>
    <w:p w14:paraId="65FE3A1C" w14:textId="77777777" w:rsidR="00FF0428" w:rsidRDefault="00FF0428" w:rsidP="00FF0428">
      <w:pPr>
        <w:spacing w:after="0"/>
        <w:rPr>
          <w:sz w:val="24"/>
        </w:rPr>
      </w:pPr>
      <w:r w:rsidRPr="00FF0428">
        <w:rPr>
          <w:sz w:val="24"/>
        </w:rPr>
        <w:t xml:space="preserve"> </w:t>
      </w:r>
      <w:hyperlink r:id="rId10" w:history="1">
        <w:r w:rsidRPr="00FF0428">
          <w:rPr>
            <w:rStyle w:val="Hyperlink"/>
            <w:sz w:val="24"/>
          </w:rPr>
          <w:t>https://ecology.wa.gov/Regulations-Permits/Laws-rules-rulemaking/Rulemaking/WAC-173-445</w:t>
        </w:r>
      </w:hyperlink>
    </w:p>
    <w:p w14:paraId="65084233" w14:textId="77777777" w:rsidR="00FF0428" w:rsidRDefault="00FF0428" w:rsidP="00FF0428">
      <w:pPr>
        <w:spacing w:after="0"/>
        <w:rPr>
          <w:sz w:val="24"/>
        </w:rPr>
      </w:pPr>
    </w:p>
    <w:p w14:paraId="08E08C4D" w14:textId="77777777" w:rsidR="00FF0428" w:rsidRDefault="00203501" w:rsidP="00FF0428">
      <w:pPr>
        <w:spacing w:after="0"/>
        <w:rPr>
          <w:b/>
          <w:sz w:val="24"/>
        </w:rPr>
      </w:pPr>
      <w:r>
        <w:rPr>
          <w:b/>
          <w:sz w:val="24"/>
        </w:rPr>
        <w:t>Where the GAP Rule Would Apply</w:t>
      </w:r>
    </w:p>
    <w:p w14:paraId="6B5E5B5F" w14:textId="77777777" w:rsidR="0072403B" w:rsidRPr="00203501" w:rsidRDefault="00E150A9" w:rsidP="00203501">
      <w:pPr>
        <w:pStyle w:val="ListParagraph"/>
        <w:numPr>
          <w:ilvl w:val="0"/>
          <w:numId w:val="25"/>
        </w:numPr>
        <w:spacing w:after="0"/>
        <w:rPr>
          <w:sz w:val="24"/>
        </w:rPr>
      </w:pPr>
      <w:r w:rsidRPr="00203501">
        <w:rPr>
          <w:sz w:val="24"/>
        </w:rPr>
        <w:t>The rule will apply to proposed projects with likely greenhouse gas emissions</w:t>
      </w:r>
    </w:p>
    <w:p w14:paraId="1DE42D98" w14:textId="77777777" w:rsidR="0072403B" w:rsidRPr="00203501" w:rsidRDefault="00E150A9" w:rsidP="00203501">
      <w:pPr>
        <w:pStyle w:val="ListParagraph"/>
        <w:numPr>
          <w:ilvl w:val="0"/>
          <w:numId w:val="25"/>
        </w:numPr>
        <w:spacing w:after="0"/>
        <w:rPr>
          <w:sz w:val="24"/>
        </w:rPr>
      </w:pPr>
      <w:r w:rsidRPr="00203501">
        <w:rPr>
          <w:sz w:val="24"/>
        </w:rPr>
        <w:t>The focus of this rule will be on fossil fuel and industrial projects per the Governor’s Directive 19-18</w:t>
      </w:r>
    </w:p>
    <w:p w14:paraId="55B5F137" w14:textId="77777777" w:rsidR="0072403B" w:rsidRPr="00203501" w:rsidRDefault="00E150A9" w:rsidP="00203501">
      <w:pPr>
        <w:pStyle w:val="ListParagraph"/>
        <w:numPr>
          <w:ilvl w:val="0"/>
          <w:numId w:val="25"/>
        </w:numPr>
        <w:spacing w:after="0"/>
        <w:rPr>
          <w:sz w:val="24"/>
        </w:rPr>
      </w:pPr>
      <w:r w:rsidRPr="00203501">
        <w:rPr>
          <w:sz w:val="24"/>
        </w:rPr>
        <w:t>Proposed projects could be for:</w:t>
      </w:r>
    </w:p>
    <w:p w14:paraId="3FF3B262" w14:textId="77777777" w:rsidR="00203501" w:rsidRPr="00203501" w:rsidRDefault="00E150A9" w:rsidP="00203501">
      <w:pPr>
        <w:pStyle w:val="ListParagraph"/>
        <w:numPr>
          <w:ilvl w:val="1"/>
          <w:numId w:val="25"/>
        </w:numPr>
        <w:spacing w:after="0"/>
        <w:rPr>
          <w:sz w:val="24"/>
        </w:rPr>
      </w:pPr>
      <w:r w:rsidRPr="00203501">
        <w:rPr>
          <w:sz w:val="24"/>
        </w:rPr>
        <w:t xml:space="preserve">A new facility which require environmental review </w:t>
      </w:r>
      <w:r w:rsidR="00203501" w:rsidRPr="00203501">
        <w:rPr>
          <w:i/>
          <w:iCs/>
          <w:sz w:val="24"/>
        </w:rPr>
        <w:t xml:space="preserve">or </w:t>
      </w:r>
    </w:p>
    <w:p w14:paraId="030F268F" w14:textId="77777777" w:rsidR="0072403B" w:rsidRPr="00203501" w:rsidRDefault="00E150A9" w:rsidP="00203501">
      <w:pPr>
        <w:pStyle w:val="ListParagraph"/>
        <w:numPr>
          <w:ilvl w:val="1"/>
          <w:numId w:val="25"/>
        </w:numPr>
        <w:spacing w:after="0"/>
        <w:rPr>
          <w:sz w:val="24"/>
        </w:rPr>
      </w:pPr>
      <w:r w:rsidRPr="00203501">
        <w:rPr>
          <w:sz w:val="24"/>
        </w:rPr>
        <w:t xml:space="preserve">Changes to an existing facility which require environmental review </w:t>
      </w:r>
    </w:p>
    <w:p w14:paraId="7746DDF7" w14:textId="77777777" w:rsidR="0072403B" w:rsidRPr="00203501" w:rsidRDefault="00E150A9" w:rsidP="00203501">
      <w:pPr>
        <w:pStyle w:val="ListParagraph"/>
        <w:numPr>
          <w:ilvl w:val="0"/>
          <w:numId w:val="25"/>
        </w:numPr>
        <w:spacing w:after="0"/>
        <w:rPr>
          <w:sz w:val="24"/>
        </w:rPr>
      </w:pPr>
      <w:r w:rsidRPr="00203501">
        <w:rPr>
          <w:sz w:val="24"/>
        </w:rPr>
        <w:t>The rule would be used by any lead agency under the State Environmental Policy Act or by project applicants</w:t>
      </w:r>
    </w:p>
    <w:p w14:paraId="74BE3867" w14:textId="77777777" w:rsidR="00203501" w:rsidRDefault="00203501" w:rsidP="00203501">
      <w:pPr>
        <w:spacing w:after="0"/>
        <w:rPr>
          <w:b/>
          <w:sz w:val="24"/>
        </w:rPr>
      </w:pPr>
    </w:p>
    <w:p w14:paraId="4086B8EF" w14:textId="77777777" w:rsidR="00203501" w:rsidRPr="00203501" w:rsidRDefault="00203501" w:rsidP="00203501">
      <w:pPr>
        <w:spacing w:after="0"/>
        <w:rPr>
          <w:b/>
          <w:sz w:val="24"/>
        </w:rPr>
      </w:pPr>
      <w:r w:rsidRPr="00203501">
        <w:rPr>
          <w:b/>
          <w:sz w:val="24"/>
        </w:rPr>
        <w:t xml:space="preserve">Where the GAP Rule Would </w:t>
      </w:r>
      <w:r>
        <w:rPr>
          <w:b/>
          <w:sz w:val="24"/>
        </w:rPr>
        <w:t xml:space="preserve">NOT </w:t>
      </w:r>
      <w:r w:rsidRPr="00203501">
        <w:rPr>
          <w:b/>
          <w:sz w:val="24"/>
        </w:rPr>
        <w:t>Apply</w:t>
      </w:r>
    </w:p>
    <w:p w14:paraId="0B7189DC" w14:textId="77777777" w:rsidR="0072403B" w:rsidRPr="00203501" w:rsidRDefault="00E150A9" w:rsidP="00203501">
      <w:pPr>
        <w:numPr>
          <w:ilvl w:val="0"/>
          <w:numId w:val="27"/>
        </w:numPr>
        <w:spacing w:after="0"/>
        <w:rPr>
          <w:sz w:val="24"/>
        </w:rPr>
      </w:pPr>
      <w:r w:rsidRPr="00203501">
        <w:rPr>
          <w:sz w:val="24"/>
        </w:rPr>
        <w:t xml:space="preserve">The rule would </w:t>
      </w:r>
      <w:r w:rsidRPr="00203501">
        <w:rPr>
          <w:bCs/>
          <w:sz w:val="24"/>
        </w:rPr>
        <w:t xml:space="preserve">not </w:t>
      </w:r>
      <w:r w:rsidRPr="00203501">
        <w:rPr>
          <w:sz w:val="24"/>
        </w:rPr>
        <w:t xml:space="preserve">apply to existing facility operations which are already permitted </w:t>
      </w:r>
    </w:p>
    <w:p w14:paraId="1DC27904" w14:textId="77777777" w:rsidR="0072403B" w:rsidRPr="00203501" w:rsidRDefault="00E150A9" w:rsidP="00203501">
      <w:pPr>
        <w:numPr>
          <w:ilvl w:val="0"/>
          <w:numId w:val="27"/>
        </w:numPr>
        <w:spacing w:after="0"/>
        <w:rPr>
          <w:sz w:val="24"/>
        </w:rPr>
      </w:pPr>
      <w:r w:rsidRPr="00203501">
        <w:rPr>
          <w:sz w:val="24"/>
        </w:rPr>
        <w:t xml:space="preserve">The rule would </w:t>
      </w:r>
      <w:r w:rsidRPr="00203501">
        <w:rPr>
          <w:bCs/>
          <w:sz w:val="24"/>
        </w:rPr>
        <w:t>not</w:t>
      </w:r>
      <w:r w:rsidRPr="00203501">
        <w:rPr>
          <w:sz w:val="24"/>
        </w:rPr>
        <w:t xml:space="preserve"> apply to projects currently going through an environmental review process</w:t>
      </w:r>
    </w:p>
    <w:p w14:paraId="48A95BDB" w14:textId="77777777" w:rsidR="0072403B" w:rsidRPr="00203501" w:rsidRDefault="00E150A9" w:rsidP="00203501">
      <w:pPr>
        <w:numPr>
          <w:ilvl w:val="0"/>
          <w:numId w:val="27"/>
        </w:numPr>
        <w:spacing w:after="0"/>
        <w:rPr>
          <w:sz w:val="24"/>
        </w:rPr>
      </w:pPr>
      <w:r w:rsidRPr="00203501">
        <w:rPr>
          <w:sz w:val="24"/>
        </w:rPr>
        <w:t xml:space="preserve">The rule would </w:t>
      </w:r>
      <w:r w:rsidRPr="00203501">
        <w:rPr>
          <w:bCs/>
          <w:sz w:val="24"/>
        </w:rPr>
        <w:t>not</w:t>
      </w:r>
      <w:r w:rsidRPr="00203501">
        <w:rPr>
          <w:sz w:val="24"/>
        </w:rPr>
        <w:t xml:space="preserve"> apply to projects which have completed an environmental review process</w:t>
      </w:r>
    </w:p>
    <w:p w14:paraId="2435AC63" w14:textId="77777777" w:rsidR="0072403B" w:rsidRPr="00203501" w:rsidRDefault="00E150A9" w:rsidP="00203501">
      <w:pPr>
        <w:numPr>
          <w:ilvl w:val="0"/>
          <w:numId w:val="27"/>
        </w:numPr>
        <w:spacing w:after="0"/>
        <w:rPr>
          <w:sz w:val="24"/>
        </w:rPr>
      </w:pPr>
      <w:r w:rsidRPr="00203501">
        <w:rPr>
          <w:sz w:val="24"/>
        </w:rPr>
        <w:t xml:space="preserve">In general, the rule would </w:t>
      </w:r>
      <w:r w:rsidRPr="00203501">
        <w:rPr>
          <w:bCs/>
          <w:sz w:val="24"/>
        </w:rPr>
        <w:t>not</w:t>
      </w:r>
      <w:r w:rsidRPr="00203501">
        <w:rPr>
          <w:sz w:val="24"/>
        </w:rPr>
        <w:t xml:space="preserve"> apply to:</w:t>
      </w:r>
    </w:p>
    <w:p w14:paraId="3A2324E9" w14:textId="77777777" w:rsidR="0072403B" w:rsidRPr="00203501" w:rsidRDefault="00E150A9" w:rsidP="00203501">
      <w:pPr>
        <w:numPr>
          <w:ilvl w:val="1"/>
          <w:numId w:val="27"/>
        </w:numPr>
        <w:spacing w:after="0"/>
        <w:rPr>
          <w:sz w:val="24"/>
        </w:rPr>
      </w:pPr>
      <w:r w:rsidRPr="00203501">
        <w:rPr>
          <w:sz w:val="24"/>
        </w:rPr>
        <w:t>Programmatic reviews or plans, like a Comprehensive Plan update</w:t>
      </w:r>
    </w:p>
    <w:p w14:paraId="714BDB67" w14:textId="77777777" w:rsidR="0072403B" w:rsidRPr="00203501" w:rsidRDefault="00E150A9" w:rsidP="00203501">
      <w:pPr>
        <w:numPr>
          <w:ilvl w:val="1"/>
          <w:numId w:val="27"/>
        </w:numPr>
        <w:spacing w:after="0"/>
        <w:rPr>
          <w:sz w:val="24"/>
        </w:rPr>
      </w:pPr>
      <w:r w:rsidRPr="00203501">
        <w:rPr>
          <w:sz w:val="24"/>
        </w:rPr>
        <w:t>Highway, road, or passenger rail projects</w:t>
      </w:r>
    </w:p>
    <w:p w14:paraId="062CF9AE" w14:textId="77777777" w:rsidR="0072403B" w:rsidRPr="00203501" w:rsidRDefault="00E150A9" w:rsidP="00203501">
      <w:pPr>
        <w:numPr>
          <w:ilvl w:val="1"/>
          <w:numId w:val="27"/>
        </w:numPr>
        <w:spacing w:after="0"/>
        <w:rPr>
          <w:sz w:val="24"/>
        </w:rPr>
      </w:pPr>
      <w:r w:rsidRPr="00203501">
        <w:rPr>
          <w:sz w:val="24"/>
        </w:rPr>
        <w:t>Housing projects</w:t>
      </w:r>
    </w:p>
    <w:p w14:paraId="0673340C" w14:textId="77777777" w:rsidR="0072403B" w:rsidRPr="00203501" w:rsidRDefault="00E150A9" w:rsidP="00203501">
      <w:pPr>
        <w:numPr>
          <w:ilvl w:val="0"/>
          <w:numId w:val="27"/>
        </w:numPr>
        <w:spacing w:after="0"/>
        <w:rPr>
          <w:sz w:val="24"/>
        </w:rPr>
      </w:pPr>
      <w:r w:rsidRPr="00203501">
        <w:rPr>
          <w:sz w:val="24"/>
        </w:rPr>
        <w:t>For projects that are not covered by the GAP rule, greenhouse gas emissions will still require consideration under SEPA on a case-by-case basis</w:t>
      </w:r>
    </w:p>
    <w:p w14:paraId="0CA06DCE" w14:textId="77777777" w:rsidR="00203501" w:rsidRDefault="00203501" w:rsidP="00FF0428">
      <w:pPr>
        <w:spacing w:after="0"/>
        <w:rPr>
          <w:sz w:val="24"/>
        </w:rPr>
      </w:pPr>
    </w:p>
    <w:p w14:paraId="01A12938" w14:textId="17DC4ABD" w:rsidR="00203501" w:rsidRDefault="00203501" w:rsidP="00FF0428">
      <w:pPr>
        <w:spacing w:after="0"/>
        <w:rPr>
          <w:b/>
          <w:sz w:val="24"/>
        </w:rPr>
      </w:pPr>
      <w:r>
        <w:rPr>
          <w:b/>
          <w:sz w:val="24"/>
        </w:rPr>
        <w:t>How to Know if a Project Must</w:t>
      </w:r>
      <w:r w:rsidR="00EE6984">
        <w:rPr>
          <w:b/>
          <w:sz w:val="24"/>
        </w:rPr>
        <w:t xml:space="preserve"> Use</w:t>
      </w:r>
      <w:r>
        <w:rPr>
          <w:b/>
          <w:sz w:val="24"/>
        </w:rPr>
        <w:t xml:space="preserve"> the GAP Rule Environmental Assessment</w:t>
      </w:r>
    </w:p>
    <w:p w14:paraId="1EB6F15C" w14:textId="77777777" w:rsidR="0072403B" w:rsidRPr="00203501" w:rsidRDefault="00E150A9" w:rsidP="00203501">
      <w:pPr>
        <w:numPr>
          <w:ilvl w:val="0"/>
          <w:numId w:val="29"/>
        </w:numPr>
        <w:spacing w:after="0"/>
        <w:rPr>
          <w:sz w:val="24"/>
        </w:rPr>
      </w:pPr>
      <w:r w:rsidRPr="00203501">
        <w:rPr>
          <w:sz w:val="24"/>
        </w:rPr>
        <w:t>An initial screening process would be used to determine if the GAP rule environmental assessment procedures for GHG emissions apply to a fossil fuel or industrial project</w:t>
      </w:r>
    </w:p>
    <w:p w14:paraId="6B5609BF" w14:textId="77777777" w:rsidR="0072403B" w:rsidRPr="00203501" w:rsidRDefault="00E150A9" w:rsidP="00203501">
      <w:pPr>
        <w:numPr>
          <w:ilvl w:val="0"/>
          <w:numId w:val="29"/>
        </w:numPr>
        <w:spacing w:after="0"/>
        <w:rPr>
          <w:sz w:val="24"/>
        </w:rPr>
      </w:pPr>
      <w:r w:rsidRPr="00203501">
        <w:rPr>
          <w:sz w:val="24"/>
        </w:rPr>
        <w:t xml:space="preserve">If the screening process identifies a project as being applicable, then the greenhouse gas assessment in the GAP Rule must be used </w:t>
      </w:r>
    </w:p>
    <w:p w14:paraId="5EC0D9FC" w14:textId="77777777" w:rsidR="0072403B" w:rsidRDefault="00E150A9" w:rsidP="00203501">
      <w:pPr>
        <w:numPr>
          <w:ilvl w:val="1"/>
          <w:numId w:val="28"/>
        </w:numPr>
        <w:spacing w:after="0"/>
        <w:rPr>
          <w:sz w:val="24"/>
        </w:rPr>
      </w:pPr>
      <w:r w:rsidRPr="00203501">
        <w:rPr>
          <w:sz w:val="24"/>
        </w:rPr>
        <w:t>The greenhouse gas assessment methods will be discussed during the August webinar</w:t>
      </w:r>
    </w:p>
    <w:p w14:paraId="277788DE" w14:textId="77777777" w:rsidR="00203501" w:rsidRDefault="00203501" w:rsidP="00203501">
      <w:pPr>
        <w:spacing w:after="0"/>
        <w:rPr>
          <w:sz w:val="24"/>
        </w:rPr>
      </w:pPr>
    </w:p>
    <w:p w14:paraId="2FCA6AD7" w14:textId="77777777" w:rsidR="00203501" w:rsidRPr="00203501" w:rsidRDefault="00203501" w:rsidP="00203501">
      <w:pPr>
        <w:spacing w:after="0"/>
        <w:rPr>
          <w:b/>
          <w:sz w:val="24"/>
        </w:rPr>
      </w:pPr>
      <w:r w:rsidRPr="00203501">
        <w:rPr>
          <w:b/>
          <w:sz w:val="24"/>
        </w:rPr>
        <w:lastRenderedPageBreak/>
        <w:t>Initial Screening</w:t>
      </w:r>
    </w:p>
    <w:p w14:paraId="03718ACF" w14:textId="77777777" w:rsidR="00203501" w:rsidRPr="00203501" w:rsidRDefault="00203501" w:rsidP="00203501">
      <w:pPr>
        <w:spacing w:after="0"/>
        <w:rPr>
          <w:sz w:val="24"/>
        </w:rPr>
      </w:pPr>
      <w:r w:rsidRPr="00203501">
        <w:rPr>
          <w:sz w:val="24"/>
        </w:rPr>
        <w:t>For the project, consider:</w:t>
      </w:r>
    </w:p>
    <w:p w14:paraId="35E6CC5D" w14:textId="77777777" w:rsidR="0072403B" w:rsidRPr="00203501" w:rsidRDefault="00E150A9" w:rsidP="00203501">
      <w:pPr>
        <w:numPr>
          <w:ilvl w:val="1"/>
          <w:numId w:val="30"/>
        </w:numPr>
        <w:spacing w:after="0"/>
        <w:rPr>
          <w:sz w:val="24"/>
        </w:rPr>
      </w:pPr>
      <w:r w:rsidRPr="00203501">
        <w:rPr>
          <w:sz w:val="24"/>
        </w:rPr>
        <w:t>Facility onsite emissions</w:t>
      </w:r>
    </w:p>
    <w:p w14:paraId="723AE938" w14:textId="77777777" w:rsidR="0072403B" w:rsidRPr="00203501" w:rsidRDefault="00E150A9" w:rsidP="00203501">
      <w:pPr>
        <w:numPr>
          <w:ilvl w:val="1"/>
          <w:numId w:val="30"/>
        </w:numPr>
        <w:spacing w:after="0"/>
        <w:rPr>
          <w:sz w:val="24"/>
        </w:rPr>
      </w:pPr>
      <w:r w:rsidRPr="00203501">
        <w:rPr>
          <w:sz w:val="24"/>
        </w:rPr>
        <w:t>Feedstocks (inputs)</w:t>
      </w:r>
    </w:p>
    <w:p w14:paraId="5911F697" w14:textId="77777777" w:rsidR="0072403B" w:rsidRPr="00203501" w:rsidRDefault="00E150A9" w:rsidP="00203501">
      <w:pPr>
        <w:numPr>
          <w:ilvl w:val="1"/>
          <w:numId w:val="30"/>
        </w:numPr>
        <w:spacing w:after="0"/>
        <w:rPr>
          <w:sz w:val="24"/>
        </w:rPr>
      </w:pPr>
      <w:r w:rsidRPr="00203501">
        <w:rPr>
          <w:sz w:val="24"/>
        </w:rPr>
        <w:t>Products (outputs)</w:t>
      </w:r>
    </w:p>
    <w:p w14:paraId="212DD267" w14:textId="77777777" w:rsidR="00203501" w:rsidRDefault="00203501" w:rsidP="00FF0428">
      <w:pPr>
        <w:spacing w:after="0"/>
        <w:rPr>
          <w:sz w:val="24"/>
        </w:rPr>
      </w:pPr>
    </w:p>
    <w:p w14:paraId="75ED8132" w14:textId="77777777" w:rsidR="00203501" w:rsidRPr="00203501" w:rsidRDefault="00203501" w:rsidP="00FF0428">
      <w:pPr>
        <w:spacing w:after="0"/>
        <w:rPr>
          <w:b/>
          <w:sz w:val="24"/>
        </w:rPr>
      </w:pPr>
      <w:r w:rsidRPr="00203501">
        <w:rPr>
          <w:b/>
          <w:sz w:val="24"/>
        </w:rPr>
        <w:t>Project’s Facility GHG Emissions</w:t>
      </w:r>
    </w:p>
    <w:p w14:paraId="33825BD1" w14:textId="77777777" w:rsidR="0072403B" w:rsidRPr="00203501" w:rsidRDefault="00E150A9" w:rsidP="00203501">
      <w:pPr>
        <w:numPr>
          <w:ilvl w:val="0"/>
          <w:numId w:val="32"/>
        </w:numPr>
        <w:spacing w:after="0"/>
        <w:rPr>
          <w:sz w:val="24"/>
        </w:rPr>
      </w:pPr>
      <w:r w:rsidRPr="00203501">
        <w:rPr>
          <w:sz w:val="24"/>
        </w:rPr>
        <w:t>Estimate the project’s facility emission sources using methods described in WAC 173-441-120, Reporting of Emissions of Greenhouse Gases</w:t>
      </w:r>
    </w:p>
    <w:p w14:paraId="2B09361F" w14:textId="77777777" w:rsidR="0072403B" w:rsidRPr="00203501" w:rsidRDefault="00E150A9" w:rsidP="00203501">
      <w:pPr>
        <w:numPr>
          <w:ilvl w:val="1"/>
          <w:numId w:val="31"/>
        </w:numPr>
        <w:spacing w:after="0"/>
        <w:rPr>
          <w:sz w:val="24"/>
        </w:rPr>
      </w:pPr>
      <w:r w:rsidRPr="00203501">
        <w:rPr>
          <w:sz w:val="24"/>
        </w:rPr>
        <w:t>The WAC requires using the methods adopted by reference from EPA’s GHG reporting regulation, 40 CFR 98, Mandatory Greenhouse Gas Reporting</w:t>
      </w:r>
    </w:p>
    <w:p w14:paraId="1B6E0AE5" w14:textId="77777777" w:rsidR="0072403B" w:rsidRPr="00203501" w:rsidRDefault="00E150A9" w:rsidP="00203501">
      <w:pPr>
        <w:numPr>
          <w:ilvl w:val="1"/>
          <w:numId w:val="31"/>
        </w:numPr>
        <w:spacing w:after="0"/>
        <w:rPr>
          <w:sz w:val="24"/>
        </w:rPr>
      </w:pPr>
      <w:r w:rsidRPr="00203501">
        <w:rPr>
          <w:sz w:val="24"/>
        </w:rPr>
        <w:t>WAC 173-441 applies to facilities emitting at least 10,000 metric tons CO</w:t>
      </w:r>
      <w:r w:rsidRPr="00203501">
        <w:rPr>
          <w:sz w:val="24"/>
          <w:vertAlign w:val="subscript"/>
        </w:rPr>
        <w:t>2</w:t>
      </w:r>
      <w:r w:rsidRPr="00203501">
        <w:rPr>
          <w:sz w:val="24"/>
        </w:rPr>
        <w:t>e of GHG per year in Washington (RCW 70.94.151(5)(a))</w:t>
      </w:r>
    </w:p>
    <w:p w14:paraId="67A4BF8B" w14:textId="77777777" w:rsidR="00203501" w:rsidRDefault="00203501" w:rsidP="00203501">
      <w:pPr>
        <w:pStyle w:val="ListParagraph"/>
        <w:numPr>
          <w:ilvl w:val="0"/>
          <w:numId w:val="32"/>
        </w:numPr>
        <w:spacing w:after="0"/>
        <w:rPr>
          <w:sz w:val="24"/>
        </w:rPr>
      </w:pPr>
      <w:r>
        <w:rPr>
          <w:sz w:val="24"/>
        </w:rPr>
        <w:t>Displayed a map showing 150 Washington facilities reporting GHG emissions over 10,000 metric tons of CO</w:t>
      </w:r>
      <w:r w:rsidRPr="00203501">
        <w:rPr>
          <w:sz w:val="24"/>
          <w:vertAlign w:val="subscript"/>
        </w:rPr>
        <w:t>2</w:t>
      </w:r>
      <w:r>
        <w:rPr>
          <w:sz w:val="24"/>
        </w:rPr>
        <w:t>e</w:t>
      </w:r>
      <w:r w:rsidR="00E150A9">
        <w:rPr>
          <w:sz w:val="24"/>
        </w:rPr>
        <w:t xml:space="preserve"> in 2018</w:t>
      </w:r>
    </w:p>
    <w:p w14:paraId="365514DC" w14:textId="77777777" w:rsidR="0072403B" w:rsidRPr="00E150A9" w:rsidRDefault="00E150A9" w:rsidP="00FD1308">
      <w:pPr>
        <w:pStyle w:val="ListParagraph"/>
        <w:numPr>
          <w:ilvl w:val="1"/>
          <w:numId w:val="32"/>
        </w:numPr>
        <w:spacing w:after="0"/>
        <w:rPr>
          <w:sz w:val="24"/>
        </w:rPr>
      </w:pPr>
      <w:r w:rsidRPr="00E150A9">
        <w:rPr>
          <w:sz w:val="24"/>
        </w:rPr>
        <w:t xml:space="preserve">These included: Power plants, Petroleum refineries, Pulp and paper plants, Metals (aluminum, steel), Glass plants, Chemical producers, Electronics manufacturers, General manufacturing, Large boilers, Food processors, </w:t>
      </w:r>
      <w:r>
        <w:rPr>
          <w:sz w:val="24"/>
        </w:rPr>
        <w:t xml:space="preserve">and </w:t>
      </w:r>
      <w:r w:rsidRPr="00E150A9">
        <w:rPr>
          <w:sz w:val="24"/>
        </w:rPr>
        <w:t>Waste facilities</w:t>
      </w:r>
    </w:p>
    <w:p w14:paraId="790DFBD5" w14:textId="77777777" w:rsidR="0072403B" w:rsidRPr="00E150A9" w:rsidRDefault="00E150A9" w:rsidP="00E150A9">
      <w:pPr>
        <w:pStyle w:val="ListParagraph"/>
        <w:numPr>
          <w:ilvl w:val="0"/>
          <w:numId w:val="32"/>
        </w:numPr>
        <w:rPr>
          <w:sz w:val="24"/>
        </w:rPr>
      </w:pPr>
      <w:r w:rsidRPr="00E150A9">
        <w:rPr>
          <w:sz w:val="24"/>
        </w:rPr>
        <w:t xml:space="preserve">Estimate facility GHG emissions using a potential to emit basis. </w:t>
      </w:r>
    </w:p>
    <w:p w14:paraId="28831843" w14:textId="77777777" w:rsidR="0072403B" w:rsidRPr="00E150A9" w:rsidRDefault="00E150A9" w:rsidP="00E150A9">
      <w:pPr>
        <w:pStyle w:val="ListParagraph"/>
        <w:numPr>
          <w:ilvl w:val="1"/>
          <w:numId w:val="32"/>
        </w:numPr>
        <w:rPr>
          <w:sz w:val="24"/>
        </w:rPr>
      </w:pPr>
      <w:r w:rsidRPr="00E150A9">
        <w:rPr>
          <w:sz w:val="24"/>
        </w:rPr>
        <w:t>Normally GHG reports are based on actual measurements (for example, amount of natural gas burned per year)</w:t>
      </w:r>
    </w:p>
    <w:p w14:paraId="48467BCF" w14:textId="77777777" w:rsidR="0072403B" w:rsidRPr="00E150A9" w:rsidRDefault="00E150A9" w:rsidP="00E150A9">
      <w:pPr>
        <w:pStyle w:val="ListParagraph"/>
        <w:numPr>
          <w:ilvl w:val="1"/>
          <w:numId w:val="32"/>
        </w:numPr>
        <w:rPr>
          <w:sz w:val="24"/>
        </w:rPr>
      </w:pPr>
      <w:r w:rsidRPr="00E150A9">
        <w:rPr>
          <w:sz w:val="24"/>
        </w:rPr>
        <w:t>For screening use maximum quantity of natural gas per year that could be burned (for example, permit limit, boiler rating, etc.)</w:t>
      </w:r>
    </w:p>
    <w:p w14:paraId="53089A40" w14:textId="77777777" w:rsidR="0072403B" w:rsidRPr="00E150A9" w:rsidRDefault="00E150A9" w:rsidP="00E150A9">
      <w:pPr>
        <w:pStyle w:val="ListParagraph"/>
        <w:numPr>
          <w:ilvl w:val="0"/>
          <w:numId w:val="32"/>
        </w:numPr>
        <w:rPr>
          <w:sz w:val="24"/>
        </w:rPr>
      </w:pPr>
      <w:r w:rsidRPr="00E150A9">
        <w:rPr>
          <w:sz w:val="24"/>
        </w:rPr>
        <w:t>Include estimating emissions from biogenic CO</w:t>
      </w:r>
      <w:r w:rsidRPr="00E150A9">
        <w:rPr>
          <w:sz w:val="24"/>
          <w:vertAlign w:val="subscript"/>
        </w:rPr>
        <w:t>2</w:t>
      </w:r>
    </w:p>
    <w:p w14:paraId="0C12723A" w14:textId="77777777" w:rsidR="0072403B" w:rsidRPr="00E150A9" w:rsidRDefault="00E150A9" w:rsidP="00E150A9">
      <w:pPr>
        <w:pStyle w:val="ListParagraph"/>
        <w:numPr>
          <w:ilvl w:val="0"/>
          <w:numId w:val="32"/>
        </w:numPr>
        <w:rPr>
          <w:sz w:val="24"/>
        </w:rPr>
      </w:pPr>
      <w:r w:rsidRPr="00E150A9">
        <w:rPr>
          <w:sz w:val="24"/>
        </w:rPr>
        <w:t>If facility emissions are equal to or greater than 10,000 metric tons of CO</w:t>
      </w:r>
      <w:r w:rsidRPr="00E150A9">
        <w:rPr>
          <w:sz w:val="24"/>
          <w:vertAlign w:val="subscript"/>
        </w:rPr>
        <w:t>2</w:t>
      </w:r>
      <w:r w:rsidRPr="00E150A9">
        <w:rPr>
          <w:sz w:val="24"/>
        </w:rPr>
        <w:t>e per year, the GAP Rule applies to the project and the greenhouse gas assessment described in the rule must be done</w:t>
      </w:r>
    </w:p>
    <w:p w14:paraId="3AB4E0E7" w14:textId="77777777" w:rsidR="00E150A9" w:rsidRPr="00E150A9" w:rsidRDefault="00E150A9" w:rsidP="00E150A9">
      <w:pPr>
        <w:spacing w:after="0"/>
        <w:rPr>
          <w:b/>
          <w:sz w:val="24"/>
        </w:rPr>
      </w:pPr>
      <w:r w:rsidRPr="00E150A9">
        <w:rPr>
          <w:b/>
          <w:sz w:val="24"/>
        </w:rPr>
        <w:t>GHG Emissions for Project Inputs and Outputs</w:t>
      </w:r>
    </w:p>
    <w:p w14:paraId="4824E2D9" w14:textId="77777777" w:rsidR="00E150A9" w:rsidRPr="00E150A9" w:rsidRDefault="00E150A9" w:rsidP="00E150A9">
      <w:pPr>
        <w:spacing w:after="0"/>
        <w:rPr>
          <w:sz w:val="24"/>
        </w:rPr>
      </w:pPr>
      <w:r w:rsidRPr="00E150A9">
        <w:rPr>
          <w:sz w:val="24"/>
        </w:rPr>
        <w:t>If a project’s facility GHG emissions are less than 10,000 metric tons of CO</w:t>
      </w:r>
      <w:r w:rsidRPr="00E150A9">
        <w:rPr>
          <w:sz w:val="24"/>
          <w:vertAlign w:val="subscript"/>
        </w:rPr>
        <w:t>2</w:t>
      </w:r>
      <w:r w:rsidRPr="00E150A9">
        <w:rPr>
          <w:sz w:val="24"/>
        </w:rPr>
        <w:t xml:space="preserve">e, then consider inputs and outputs to the project </w:t>
      </w:r>
    </w:p>
    <w:p w14:paraId="4A1F6C02" w14:textId="77777777" w:rsidR="0072403B" w:rsidRPr="00E150A9" w:rsidRDefault="00E150A9" w:rsidP="00E150A9">
      <w:pPr>
        <w:numPr>
          <w:ilvl w:val="0"/>
          <w:numId w:val="39"/>
        </w:numPr>
        <w:spacing w:after="0"/>
        <w:rPr>
          <w:sz w:val="24"/>
        </w:rPr>
      </w:pPr>
      <w:r w:rsidRPr="00E150A9">
        <w:rPr>
          <w:sz w:val="24"/>
        </w:rPr>
        <w:t>Inputs are materials used by the project (feedstocks: natural gas for a chemical plant)</w:t>
      </w:r>
    </w:p>
    <w:p w14:paraId="327F6603" w14:textId="77777777" w:rsidR="0072403B" w:rsidRPr="00E150A9" w:rsidRDefault="00E150A9" w:rsidP="00E150A9">
      <w:pPr>
        <w:numPr>
          <w:ilvl w:val="0"/>
          <w:numId w:val="39"/>
        </w:numPr>
        <w:spacing w:after="0"/>
        <w:rPr>
          <w:sz w:val="24"/>
        </w:rPr>
      </w:pPr>
      <w:r w:rsidRPr="00E150A9">
        <w:rPr>
          <w:sz w:val="24"/>
        </w:rPr>
        <w:t>Outputs are materials made by the project (products: gasoline from a refinery)</w:t>
      </w:r>
    </w:p>
    <w:p w14:paraId="5C796066" w14:textId="77777777" w:rsidR="0072403B" w:rsidRPr="00E150A9" w:rsidRDefault="00E150A9" w:rsidP="00E150A9">
      <w:pPr>
        <w:numPr>
          <w:ilvl w:val="0"/>
          <w:numId w:val="39"/>
        </w:numPr>
        <w:spacing w:after="0"/>
        <w:rPr>
          <w:sz w:val="24"/>
        </w:rPr>
      </w:pPr>
      <w:r w:rsidRPr="00E150A9">
        <w:rPr>
          <w:sz w:val="24"/>
        </w:rPr>
        <w:t>Identify inputs or outputs using a table in the rule for:</w:t>
      </w:r>
    </w:p>
    <w:p w14:paraId="377404B1" w14:textId="77777777" w:rsidR="0072403B" w:rsidRPr="00E150A9" w:rsidRDefault="00E150A9" w:rsidP="00E150A9">
      <w:pPr>
        <w:numPr>
          <w:ilvl w:val="1"/>
          <w:numId w:val="39"/>
        </w:numPr>
        <w:spacing w:after="0"/>
        <w:rPr>
          <w:sz w:val="24"/>
        </w:rPr>
      </w:pPr>
      <w:r w:rsidRPr="00E150A9">
        <w:rPr>
          <w:sz w:val="24"/>
        </w:rPr>
        <w:t>Fossil fuels</w:t>
      </w:r>
    </w:p>
    <w:p w14:paraId="78E4D9C2" w14:textId="77777777" w:rsidR="0072403B" w:rsidRPr="00E150A9" w:rsidRDefault="00E150A9" w:rsidP="00E150A9">
      <w:pPr>
        <w:numPr>
          <w:ilvl w:val="1"/>
          <w:numId w:val="39"/>
        </w:numPr>
        <w:spacing w:after="0"/>
        <w:rPr>
          <w:sz w:val="24"/>
        </w:rPr>
      </w:pPr>
      <w:r w:rsidRPr="00E150A9">
        <w:rPr>
          <w:sz w:val="24"/>
        </w:rPr>
        <w:t>Electricity</w:t>
      </w:r>
    </w:p>
    <w:p w14:paraId="7E82D10C" w14:textId="77777777" w:rsidR="0072403B" w:rsidRPr="00E150A9" w:rsidRDefault="00E150A9" w:rsidP="00E150A9">
      <w:pPr>
        <w:numPr>
          <w:ilvl w:val="0"/>
          <w:numId w:val="39"/>
        </w:numPr>
        <w:spacing w:after="0"/>
        <w:rPr>
          <w:sz w:val="24"/>
        </w:rPr>
      </w:pPr>
      <w:r w:rsidRPr="00E150A9">
        <w:rPr>
          <w:sz w:val="24"/>
        </w:rPr>
        <w:t>Estimate the potential to emit</w:t>
      </w:r>
    </w:p>
    <w:p w14:paraId="7B9AB703" w14:textId="77777777" w:rsidR="0072403B" w:rsidRPr="00E150A9" w:rsidRDefault="00E150A9" w:rsidP="00E150A9">
      <w:pPr>
        <w:numPr>
          <w:ilvl w:val="1"/>
          <w:numId w:val="39"/>
        </w:numPr>
        <w:spacing w:after="0"/>
        <w:rPr>
          <w:sz w:val="24"/>
        </w:rPr>
      </w:pPr>
      <w:r w:rsidRPr="00E150A9">
        <w:rPr>
          <w:sz w:val="24"/>
        </w:rPr>
        <w:t>Similar to 40 CFR 98 Table C-1 and Table MM-1</w:t>
      </w:r>
    </w:p>
    <w:p w14:paraId="796BDF74" w14:textId="77777777" w:rsidR="0072403B" w:rsidRPr="00E150A9" w:rsidRDefault="00E150A9" w:rsidP="00E150A9">
      <w:pPr>
        <w:numPr>
          <w:ilvl w:val="1"/>
          <w:numId w:val="39"/>
        </w:numPr>
        <w:spacing w:after="0"/>
        <w:rPr>
          <w:sz w:val="24"/>
        </w:rPr>
      </w:pPr>
      <w:r w:rsidRPr="00E150A9">
        <w:rPr>
          <w:sz w:val="24"/>
        </w:rPr>
        <w:t>For unlisted hydrocarbons, estimate on a carbon content basis</w:t>
      </w:r>
    </w:p>
    <w:p w14:paraId="3A685E9A" w14:textId="77777777" w:rsidR="0072403B" w:rsidRPr="00E150A9" w:rsidRDefault="00E150A9" w:rsidP="00E150A9">
      <w:pPr>
        <w:numPr>
          <w:ilvl w:val="0"/>
          <w:numId w:val="39"/>
        </w:numPr>
        <w:spacing w:after="0"/>
        <w:rPr>
          <w:sz w:val="24"/>
        </w:rPr>
      </w:pPr>
      <w:r w:rsidRPr="00E150A9">
        <w:rPr>
          <w:sz w:val="24"/>
        </w:rPr>
        <w:t xml:space="preserve">If a single input or output, or a combination of multiple inputs or outputs, are </w:t>
      </w:r>
      <w:r w:rsidRPr="00E150A9">
        <w:rPr>
          <w:sz w:val="24"/>
          <w:u w:val="single"/>
        </w:rPr>
        <w:t>&gt;</w:t>
      </w:r>
      <w:r w:rsidRPr="00E150A9">
        <w:rPr>
          <w:sz w:val="24"/>
        </w:rPr>
        <w:t xml:space="preserve"> 10,000 metric tons of CO</w:t>
      </w:r>
      <w:r w:rsidRPr="00E150A9">
        <w:rPr>
          <w:sz w:val="24"/>
          <w:vertAlign w:val="subscript"/>
        </w:rPr>
        <w:t>2</w:t>
      </w:r>
      <w:r w:rsidRPr="00E150A9">
        <w:rPr>
          <w:sz w:val="24"/>
        </w:rPr>
        <w:t>e, the GAP Rule applies to the project and the greenhouse gas assessment described in the rule must be done</w:t>
      </w:r>
    </w:p>
    <w:p w14:paraId="5101FE5B" w14:textId="77777777" w:rsidR="00E150A9" w:rsidRDefault="00E150A9" w:rsidP="00E150A9">
      <w:pPr>
        <w:spacing w:after="0"/>
        <w:rPr>
          <w:sz w:val="24"/>
        </w:rPr>
      </w:pPr>
    </w:p>
    <w:p w14:paraId="5487BCAD" w14:textId="77777777" w:rsidR="00E150A9" w:rsidRDefault="00E150A9" w:rsidP="00E150A9">
      <w:pPr>
        <w:spacing w:after="0"/>
        <w:rPr>
          <w:sz w:val="24"/>
        </w:rPr>
      </w:pPr>
      <w:r>
        <w:rPr>
          <w:sz w:val="24"/>
        </w:rPr>
        <w:t>Initial Screening Recap</w:t>
      </w:r>
    </w:p>
    <w:p w14:paraId="765E2DF5" w14:textId="77777777" w:rsidR="0072403B" w:rsidRPr="00E150A9" w:rsidRDefault="00E150A9" w:rsidP="00E150A9">
      <w:pPr>
        <w:pStyle w:val="ListParagraph"/>
        <w:numPr>
          <w:ilvl w:val="0"/>
          <w:numId w:val="40"/>
        </w:numPr>
        <w:spacing w:after="0"/>
        <w:rPr>
          <w:sz w:val="24"/>
        </w:rPr>
      </w:pPr>
      <w:r w:rsidRPr="00E150A9">
        <w:rPr>
          <w:sz w:val="24"/>
        </w:rPr>
        <w:t>An initial screening process would be described in the GAP Rule to determine which projects would complete the environmental assessment in the rule</w:t>
      </w:r>
    </w:p>
    <w:p w14:paraId="16160C8A" w14:textId="77777777" w:rsidR="0072403B" w:rsidRPr="00E150A9" w:rsidRDefault="00E150A9" w:rsidP="00E150A9">
      <w:pPr>
        <w:pStyle w:val="ListParagraph"/>
        <w:numPr>
          <w:ilvl w:val="1"/>
          <w:numId w:val="40"/>
        </w:numPr>
        <w:spacing w:after="0"/>
        <w:rPr>
          <w:sz w:val="24"/>
        </w:rPr>
      </w:pPr>
      <w:r w:rsidRPr="00E150A9">
        <w:rPr>
          <w:sz w:val="24"/>
        </w:rPr>
        <w:t xml:space="preserve">We will discuss the environmental assessment methods for the GAP Rule at the August 27 webinar. </w:t>
      </w:r>
    </w:p>
    <w:p w14:paraId="66EBB969" w14:textId="77777777" w:rsidR="0072403B" w:rsidRPr="00E150A9" w:rsidRDefault="00E150A9" w:rsidP="00E150A9">
      <w:pPr>
        <w:pStyle w:val="ListParagraph"/>
        <w:numPr>
          <w:ilvl w:val="0"/>
          <w:numId w:val="40"/>
        </w:numPr>
        <w:spacing w:after="0"/>
        <w:rPr>
          <w:sz w:val="24"/>
        </w:rPr>
      </w:pPr>
      <w:r w:rsidRPr="00E150A9">
        <w:rPr>
          <w:sz w:val="24"/>
        </w:rPr>
        <w:t>If the GAP rule does not apply to a project, an evaluation of GHG emissions is still required under the State Environmental Policy Act (SEPA) on a case-by-case basis</w:t>
      </w:r>
    </w:p>
    <w:p w14:paraId="7C34E295" w14:textId="77777777" w:rsidR="00E150A9" w:rsidRPr="00E150A9" w:rsidRDefault="00E150A9" w:rsidP="00E150A9">
      <w:pPr>
        <w:spacing w:after="0"/>
        <w:rPr>
          <w:sz w:val="24"/>
        </w:rPr>
      </w:pPr>
    </w:p>
    <w:p w14:paraId="13E56E7C" w14:textId="77777777" w:rsidR="00FF0428" w:rsidRDefault="00FF0428" w:rsidP="00FF0428">
      <w:pPr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 xml:space="preserve">Input and Feedback </w:t>
      </w:r>
      <w:r w:rsidR="006503EB">
        <w:rPr>
          <w:b/>
          <w:color w:val="2E74B5" w:themeColor="accent1" w:themeShade="BF"/>
          <w:sz w:val="24"/>
        </w:rPr>
        <w:t>from Groups Representing Key Interest Areas</w:t>
      </w:r>
    </w:p>
    <w:p w14:paraId="2BB59409" w14:textId="77777777" w:rsidR="0072403B" w:rsidRPr="00E150A9" w:rsidRDefault="00E150A9" w:rsidP="00E150A9">
      <w:pPr>
        <w:pStyle w:val="ListParagraph"/>
        <w:numPr>
          <w:ilvl w:val="0"/>
          <w:numId w:val="42"/>
        </w:numPr>
        <w:spacing w:after="0"/>
        <w:rPr>
          <w:sz w:val="24"/>
        </w:rPr>
      </w:pPr>
      <w:r w:rsidRPr="00E150A9">
        <w:rPr>
          <w:sz w:val="24"/>
        </w:rPr>
        <w:t>Environmental</w:t>
      </w:r>
    </w:p>
    <w:p w14:paraId="6FFCE2E0" w14:textId="77777777" w:rsidR="0072403B" w:rsidRPr="00E150A9" w:rsidRDefault="00E150A9" w:rsidP="00E150A9">
      <w:pPr>
        <w:pStyle w:val="ListParagraph"/>
        <w:numPr>
          <w:ilvl w:val="1"/>
          <w:numId w:val="42"/>
        </w:numPr>
        <w:spacing w:after="0"/>
        <w:rPr>
          <w:sz w:val="24"/>
        </w:rPr>
      </w:pPr>
      <w:r w:rsidRPr="00E150A9">
        <w:rPr>
          <w:sz w:val="24"/>
        </w:rPr>
        <w:t>Amanda Goodin, Earthjustice</w:t>
      </w:r>
    </w:p>
    <w:p w14:paraId="5398A1C3" w14:textId="77777777" w:rsidR="0072403B" w:rsidRPr="00E150A9" w:rsidRDefault="00E150A9" w:rsidP="00E150A9">
      <w:pPr>
        <w:pStyle w:val="ListParagraph"/>
        <w:numPr>
          <w:ilvl w:val="0"/>
          <w:numId w:val="42"/>
        </w:numPr>
        <w:spacing w:after="0"/>
        <w:rPr>
          <w:sz w:val="24"/>
        </w:rPr>
      </w:pPr>
      <w:r w:rsidRPr="00E150A9">
        <w:rPr>
          <w:sz w:val="24"/>
        </w:rPr>
        <w:t>Business and Industry</w:t>
      </w:r>
    </w:p>
    <w:p w14:paraId="21828F62" w14:textId="77777777" w:rsidR="0072403B" w:rsidRPr="00E150A9" w:rsidRDefault="00E150A9" w:rsidP="00E150A9">
      <w:pPr>
        <w:pStyle w:val="ListParagraph"/>
        <w:numPr>
          <w:ilvl w:val="1"/>
          <w:numId w:val="42"/>
        </w:numPr>
        <w:spacing w:after="0"/>
        <w:rPr>
          <w:sz w:val="24"/>
        </w:rPr>
      </w:pPr>
      <w:r w:rsidRPr="00E150A9">
        <w:rPr>
          <w:sz w:val="24"/>
        </w:rPr>
        <w:t xml:space="preserve">James Verburg, bp America, Inc. </w:t>
      </w:r>
    </w:p>
    <w:p w14:paraId="2720532C" w14:textId="77777777" w:rsidR="00121E13" w:rsidRDefault="00121E13" w:rsidP="00121E13">
      <w:pPr>
        <w:spacing w:after="0"/>
      </w:pPr>
    </w:p>
    <w:p w14:paraId="1ED8A6EA" w14:textId="0B1B1FF8" w:rsidR="00121E13" w:rsidRPr="00121E13" w:rsidRDefault="00121E13" w:rsidP="00121E13">
      <w:pPr>
        <w:spacing w:after="0"/>
        <w:rPr>
          <w:sz w:val="24"/>
        </w:rPr>
      </w:pPr>
      <w:r w:rsidRPr="00121E13">
        <w:rPr>
          <w:sz w:val="24"/>
          <w:szCs w:val="24"/>
        </w:rPr>
        <w:t>This</w:t>
      </w:r>
      <w:r w:rsidRPr="00121E13">
        <w:rPr>
          <w:sz w:val="24"/>
          <w:szCs w:val="24"/>
        </w:rPr>
        <w:t xml:space="preserve"> input and feedback will be posted online soon. </w:t>
      </w:r>
      <w:r>
        <w:rPr>
          <w:sz w:val="24"/>
          <w:szCs w:val="24"/>
        </w:rPr>
        <w:t>Once the link i</w:t>
      </w:r>
      <w:r w:rsidRPr="00121E13">
        <w:rPr>
          <w:sz w:val="24"/>
          <w:szCs w:val="24"/>
        </w:rPr>
        <w:t xml:space="preserve">s available, </w:t>
      </w:r>
      <w:r>
        <w:rPr>
          <w:sz w:val="24"/>
          <w:szCs w:val="24"/>
        </w:rPr>
        <w:t xml:space="preserve">it will be included </w:t>
      </w:r>
      <w:r>
        <w:rPr>
          <w:sz w:val="24"/>
        </w:rPr>
        <w:t>on our webpage</w:t>
      </w:r>
      <w:r w:rsidRPr="00121E13">
        <w:rPr>
          <w:sz w:val="24"/>
        </w:rPr>
        <w:t xml:space="preserve">: </w:t>
      </w:r>
    </w:p>
    <w:p w14:paraId="78881614" w14:textId="77777777" w:rsidR="00121E13" w:rsidRPr="00121E13" w:rsidRDefault="00121E13" w:rsidP="00121E13">
      <w:pPr>
        <w:spacing w:after="0"/>
        <w:rPr>
          <w:sz w:val="24"/>
        </w:rPr>
      </w:pPr>
      <w:hyperlink r:id="rId11" w:history="1">
        <w:r w:rsidRPr="00121E13">
          <w:rPr>
            <w:rStyle w:val="Hyperlink"/>
            <w:sz w:val="24"/>
          </w:rPr>
          <w:t>https://ecology.wa.gov/Regulations-Permits/Laws-rules-rulemaking/Rulemaking/WAC-173-445</w:t>
        </w:r>
      </w:hyperlink>
    </w:p>
    <w:p w14:paraId="28C35867" w14:textId="77777777" w:rsidR="00E150A9" w:rsidRDefault="00E150A9" w:rsidP="006D5F60">
      <w:pPr>
        <w:spacing w:after="0"/>
        <w:ind w:left="720"/>
        <w:rPr>
          <w:sz w:val="24"/>
        </w:rPr>
      </w:pPr>
    </w:p>
    <w:p w14:paraId="69232AED" w14:textId="77777777" w:rsidR="00FF0428" w:rsidRPr="00FF0428" w:rsidRDefault="006503EB" w:rsidP="00FF0428">
      <w:pPr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Public Input and Feedback</w:t>
      </w:r>
    </w:p>
    <w:p w14:paraId="0532B931" w14:textId="4CE6E310" w:rsidR="00FF0428" w:rsidRDefault="00121E13" w:rsidP="00FF0428">
      <w:pPr>
        <w:spacing w:after="0"/>
        <w:rPr>
          <w:sz w:val="24"/>
        </w:rPr>
      </w:pPr>
      <w:r>
        <w:rPr>
          <w:sz w:val="24"/>
        </w:rPr>
        <w:t xml:space="preserve">Public input and feedback will be posted online soon. </w:t>
      </w:r>
      <w:r>
        <w:rPr>
          <w:sz w:val="24"/>
          <w:szCs w:val="24"/>
        </w:rPr>
        <w:t>Once the link i</w:t>
      </w:r>
      <w:r w:rsidRPr="00121E13">
        <w:rPr>
          <w:sz w:val="24"/>
          <w:szCs w:val="24"/>
        </w:rPr>
        <w:t xml:space="preserve">s available, </w:t>
      </w:r>
      <w:r>
        <w:rPr>
          <w:sz w:val="24"/>
          <w:szCs w:val="24"/>
        </w:rPr>
        <w:t xml:space="preserve">it will be included </w:t>
      </w:r>
      <w:r>
        <w:rPr>
          <w:sz w:val="24"/>
        </w:rPr>
        <w:t>on our webpage</w:t>
      </w:r>
      <w:r w:rsidRPr="00121E13">
        <w:rPr>
          <w:sz w:val="24"/>
        </w:rPr>
        <w:t xml:space="preserve">: </w:t>
      </w:r>
      <w:r w:rsidR="006503EB">
        <w:rPr>
          <w:sz w:val="24"/>
        </w:rPr>
        <w:t xml:space="preserve"> </w:t>
      </w:r>
    </w:p>
    <w:p w14:paraId="05F74048" w14:textId="77777777" w:rsidR="006503EB" w:rsidRPr="00FF0428" w:rsidRDefault="00121E13" w:rsidP="00FF0428">
      <w:pPr>
        <w:spacing w:after="0"/>
        <w:rPr>
          <w:sz w:val="24"/>
        </w:rPr>
      </w:pPr>
      <w:hyperlink r:id="rId12" w:history="1">
        <w:r w:rsidR="006503EB" w:rsidRPr="00FF0428">
          <w:rPr>
            <w:rStyle w:val="Hyperlink"/>
            <w:sz w:val="24"/>
          </w:rPr>
          <w:t>https://ecology.wa.g</w:t>
        </w:r>
        <w:bookmarkStart w:id="0" w:name="_GoBack"/>
        <w:bookmarkEnd w:id="0"/>
        <w:r w:rsidR="006503EB" w:rsidRPr="00FF0428">
          <w:rPr>
            <w:rStyle w:val="Hyperlink"/>
            <w:sz w:val="24"/>
          </w:rPr>
          <w:t>ov/Regulations-Permits/Laws-rules-rulemaking/Rulemaking/WAC-173-445</w:t>
        </w:r>
      </w:hyperlink>
    </w:p>
    <w:sectPr w:rsidR="006503EB" w:rsidRPr="00FF042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4C87F" w14:textId="77777777" w:rsidR="00FF0428" w:rsidRDefault="00FF0428" w:rsidP="00FF0428">
      <w:pPr>
        <w:spacing w:after="0" w:line="240" w:lineRule="auto"/>
      </w:pPr>
      <w:r>
        <w:separator/>
      </w:r>
    </w:p>
  </w:endnote>
  <w:endnote w:type="continuationSeparator" w:id="0">
    <w:p w14:paraId="608CA300" w14:textId="77777777" w:rsidR="00FF0428" w:rsidRDefault="00FF0428" w:rsidP="00FF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2B63" w14:textId="38E4F763" w:rsidR="00FF0428" w:rsidRDefault="00FF0428">
    <w:pPr>
      <w:pStyle w:val="Footer"/>
      <w:jc w:val="right"/>
    </w:pPr>
    <w:r>
      <w:t>Ju</w:t>
    </w:r>
    <w:r w:rsidR="00203501">
      <w:t>ly</w:t>
    </w:r>
    <w:r>
      <w:t xml:space="preserve"> 2020 GAP Rule Webinar</w:t>
    </w:r>
    <w:r>
      <w:tab/>
    </w:r>
    <w:r>
      <w:tab/>
      <w:t xml:space="preserve">Page </w:t>
    </w:r>
    <w:sdt>
      <w:sdtPr>
        <w:id w:val="9399570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E1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E054416" w14:textId="77777777" w:rsidR="00FF0428" w:rsidRDefault="00FF0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1F900" w14:textId="77777777" w:rsidR="00FF0428" w:rsidRDefault="00FF0428" w:rsidP="00FF0428">
      <w:pPr>
        <w:spacing w:after="0" w:line="240" w:lineRule="auto"/>
      </w:pPr>
      <w:r>
        <w:separator/>
      </w:r>
    </w:p>
  </w:footnote>
  <w:footnote w:type="continuationSeparator" w:id="0">
    <w:p w14:paraId="5B8A5C53" w14:textId="77777777" w:rsidR="00FF0428" w:rsidRDefault="00FF0428" w:rsidP="00FF0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338"/>
    <w:multiLevelType w:val="hybridMultilevel"/>
    <w:tmpl w:val="D4206272"/>
    <w:lvl w:ilvl="0" w:tplc="0C9402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68E58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1A4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A5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F0F3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CED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6C0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C00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0A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1571"/>
    <w:multiLevelType w:val="hybridMultilevel"/>
    <w:tmpl w:val="66DECFB4"/>
    <w:lvl w:ilvl="0" w:tplc="E656F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E1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88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8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09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81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89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2B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E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E94131"/>
    <w:multiLevelType w:val="hybridMultilevel"/>
    <w:tmpl w:val="5512F4D4"/>
    <w:lvl w:ilvl="0" w:tplc="1B3054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1AAC26">
      <w:start w:val="31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66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2D9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4C7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86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AD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628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CC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769B"/>
    <w:multiLevelType w:val="hybridMultilevel"/>
    <w:tmpl w:val="B3EC14D8"/>
    <w:lvl w:ilvl="0" w:tplc="E88623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267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3E57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43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0C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35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640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8402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C69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41EC"/>
    <w:multiLevelType w:val="hybridMultilevel"/>
    <w:tmpl w:val="852C81A6"/>
    <w:lvl w:ilvl="0" w:tplc="3CB2CF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2F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C8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C38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8E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A1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62E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42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4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D7940"/>
    <w:multiLevelType w:val="hybridMultilevel"/>
    <w:tmpl w:val="CD0CF6F2"/>
    <w:lvl w:ilvl="0" w:tplc="22E03C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A3A9E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BA5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26C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6C2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8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840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3CF0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AC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6213"/>
    <w:multiLevelType w:val="hybridMultilevel"/>
    <w:tmpl w:val="9EF81506"/>
    <w:lvl w:ilvl="0" w:tplc="CA18B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28352">
      <w:start w:val="31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23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C2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1424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D6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2AC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51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CD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03F68"/>
    <w:multiLevelType w:val="hybridMultilevel"/>
    <w:tmpl w:val="56E2AA52"/>
    <w:lvl w:ilvl="0" w:tplc="8BE8D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64C17E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580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2C5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44B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03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46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43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00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B00"/>
    <w:multiLevelType w:val="hybridMultilevel"/>
    <w:tmpl w:val="C2E8CC56"/>
    <w:lvl w:ilvl="0" w:tplc="96BA09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AA950">
      <w:start w:val="31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82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4D2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66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2E2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41F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47B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8D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8559F"/>
    <w:multiLevelType w:val="hybridMultilevel"/>
    <w:tmpl w:val="0AF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666C3"/>
    <w:multiLevelType w:val="hybridMultilevel"/>
    <w:tmpl w:val="213A28EE"/>
    <w:lvl w:ilvl="0" w:tplc="48928352">
      <w:start w:val="314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B984946"/>
    <w:multiLevelType w:val="hybridMultilevel"/>
    <w:tmpl w:val="9B04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153A"/>
    <w:multiLevelType w:val="hybridMultilevel"/>
    <w:tmpl w:val="168A109C"/>
    <w:lvl w:ilvl="0" w:tplc="80AE21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A7B68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F0E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C84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CB1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E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899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ED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705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04F31"/>
    <w:multiLevelType w:val="hybridMultilevel"/>
    <w:tmpl w:val="A5A8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63C2F"/>
    <w:multiLevelType w:val="hybridMultilevel"/>
    <w:tmpl w:val="093EE31A"/>
    <w:lvl w:ilvl="0" w:tplc="F16EA2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FEAA7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BCA2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32A0D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385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1C2A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34090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142F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5AC2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21F15345"/>
    <w:multiLevelType w:val="hybridMultilevel"/>
    <w:tmpl w:val="80220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0989A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D0F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C70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C3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0C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4B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47D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EE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F6AB6"/>
    <w:multiLevelType w:val="hybridMultilevel"/>
    <w:tmpl w:val="093CB5CA"/>
    <w:lvl w:ilvl="0" w:tplc="9FD672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C10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EC8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A2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8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4E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5609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A450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EA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71DAB"/>
    <w:multiLevelType w:val="hybridMultilevel"/>
    <w:tmpl w:val="C412770C"/>
    <w:lvl w:ilvl="0" w:tplc="74B0E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254B6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300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8C0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CB7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8A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E9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EE9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27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A1BFF"/>
    <w:multiLevelType w:val="hybridMultilevel"/>
    <w:tmpl w:val="9454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621C4"/>
    <w:multiLevelType w:val="hybridMultilevel"/>
    <w:tmpl w:val="2EC2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B103F"/>
    <w:multiLevelType w:val="hybridMultilevel"/>
    <w:tmpl w:val="E14E2730"/>
    <w:lvl w:ilvl="0" w:tplc="C7EC20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44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B290D8">
      <w:start w:val="314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4BF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D652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6EA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00D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229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8E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E2EE9"/>
    <w:multiLevelType w:val="hybridMultilevel"/>
    <w:tmpl w:val="DDD82E84"/>
    <w:lvl w:ilvl="0" w:tplc="EADA37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A4F16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DA9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43D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9C66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AE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0C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829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0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C4366"/>
    <w:multiLevelType w:val="hybridMultilevel"/>
    <w:tmpl w:val="E4ECDE38"/>
    <w:lvl w:ilvl="0" w:tplc="C6509B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B00DB6">
      <w:start w:val="31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6C2742">
      <w:start w:val="314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34E1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8B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44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02B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0E3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C4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C43C7"/>
    <w:multiLevelType w:val="hybridMultilevel"/>
    <w:tmpl w:val="C43EEFE2"/>
    <w:lvl w:ilvl="0" w:tplc="520635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40989A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D0F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C70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C3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0C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4B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47D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EE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F4932"/>
    <w:multiLevelType w:val="hybridMultilevel"/>
    <w:tmpl w:val="787E0F2E"/>
    <w:lvl w:ilvl="0" w:tplc="D23AB0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01F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821AF8">
      <w:start w:val="314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5E12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0F9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E40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2A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05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ED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262C0"/>
    <w:multiLevelType w:val="hybridMultilevel"/>
    <w:tmpl w:val="52F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60D79"/>
    <w:multiLevelType w:val="hybridMultilevel"/>
    <w:tmpl w:val="0A445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C5E9B"/>
    <w:multiLevelType w:val="hybridMultilevel"/>
    <w:tmpl w:val="6BA4F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E0094"/>
    <w:multiLevelType w:val="hybridMultilevel"/>
    <w:tmpl w:val="C5C46936"/>
    <w:lvl w:ilvl="0" w:tplc="A5CE6C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A34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62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C8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6F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CC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A64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A42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00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96268"/>
    <w:multiLevelType w:val="hybridMultilevel"/>
    <w:tmpl w:val="01D0F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607DC"/>
    <w:multiLevelType w:val="hybridMultilevel"/>
    <w:tmpl w:val="598E14C2"/>
    <w:lvl w:ilvl="0" w:tplc="48928352">
      <w:start w:val="31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102F9"/>
    <w:multiLevelType w:val="hybridMultilevel"/>
    <w:tmpl w:val="651080BE"/>
    <w:lvl w:ilvl="0" w:tplc="5D6C87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19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AE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0B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5C83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45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4E4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026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CC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5255E"/>
    <w:multiLevelType w:val="hybridMultilevel"/>
    <w:tmpl w:val="97A662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97A88"/>
    <w:multiLevelType w:val="hybridMultilevel"/>
    <w:tmpl w:val="028ADD90"/>
    <w:lvl w:ilvl="0" w:tplc="653E99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68A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241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6E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48C8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6E0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8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AAF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365C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A6755"/>
    <w:multiLevelType w:val="hybridMultilevel"/>
    <w:tmpl w:val="AD341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4C17E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580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2C5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44B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03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46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43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00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746F1"/>
    <w:multiLevelType w:val="hybridMultilevel"/>
    <w:tmpl w:val="A4DA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11DDC"/>
    <w:multiLevelType w:val="hybridMultilevel"/>
    <w:tmpl w:val="5C28D97C"/>
    <w:lvl w:ilvl="0" w:tplc="076065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67F02">
      <w:start w:val="31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B05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41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0B3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80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42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D468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F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071EE"/>
    <w:multiLevelType w:val="hybridMultilevel"/>
    <w:tmpl w:val="0972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3F6F"/>
    <w:multiLevelType w:val="hybridMultilevel"/>
    <w:tmpl w:val="B050820E"/>
    <w:lvl w:ilvl="0" w:tplc="C3E00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6A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3AE5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4B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831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2B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85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B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920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000CAD"/>
    <w:multiLevelType w:val="hybridMultilevel"/>
    <w:tmpl w:val="0540C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E81287"/>
    <w:multiLevelType w:val="hybridMultilevel"/>
    <w:tmpl w:val="2A32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245BD"/>
    <w:multiLevelType w:val="hybridMultilevel"/>
    <w:tmpl w:val="65A6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40"/>
  </w:num>
  <w:num w:numId="4">
    <w:abstractNumId w:val="8"/>
  </w:num>
  <w:num w:numId="5">
    <w:abstractNumId w:val="32"/>
  </w:num>
  <w:num w:numId="6">
    <w:abstractNumId w:val="25"/>
  </w:num>
  <w:num w:numId="7">
    <w:abstractNumId w:val="22"/>
  </w:num>
  <w:num w:numId="8">
    <w:abstractNumId w:val="9"/>
  </w:num>
  <w:num w:numId="9">
    <w:abstractNumId w:val="24"/>
  </w:num>
  <w:num w:numId="10">
    <w:abstractNumId w:val="20"/>
  </w:num>
  <w:num w:numId="11">
    <w:abstractNumId w:val="41"/>
  </w:num>
  <w:num w:numId="12">
    <w:abstractNumId w:val="19"/>
  </w:num>
  <w:num w:numId="13">
    <w:abstractNumId w:val="35"/>
  </w:num>
  <w:num w:numId="14">
    <w:abstractNumId w:val="11"/>
  </w:num>
  <w:num w:numId="15">
    <w:abstractNumId w:val="18"/>
  </w:num>
  <w:num w:numId="16">
    <w:abstractNumId w:val="4"/>
  </w:num>
  <w:num w:numId="17">
    <w:abstractNumId w:val="16"/>
  </w:num>
  <w:num w:numId="18">
    <w:abstractNumId w:val="39"/>
  </w:num>
  <w:num w:numId="19">
    <w:abstractNumId w:val="6"/>
  </w:num>
  <w:num w:numId="20">
    <w:abstractNumId w:val="17"/>
  </w:num>
  <w:num w:numId="21">
    <w:abstractNumId w:val="14"/>
  </w:num>
  <w:num w:numId="22">
    <w:abstractNumId w:val="28"/>
  </w:num>
  <w:num w:numId="23">
    <w:abstractNumId w:val="30"/>
  </w:num>
  <w:num w:numId="24">
    <w:abstractNumId w:val="10"/>
  </w:num>
  <w:num w:numId="25">
    <w:abstractNumId w:val="13"/>
  </w:num>
  <w:num w:numId="26">
    <w:abstractNumId w:val="12"/>
  </w:num>
  <w:num w:numId="27">
    <w:abstractNumId w:val="37"/>
  </w:num>
  <w:num w:numId="28">
    <w:abstractNumId w:val="23"/>
  </w:num>
  <w:num w:numId="29">
    <w:abstractNumId w:val="15"/>
  </w:num>
  <w:num w:numId="30">
    <w:abstractNumId w:val="38"/>
  </w:num>
  <w:num w:numId="31">
    <w:abstractNumId w:val="7"/>
  </w:num>
  <w:num w:numId="32">
    <w:abstractNumId w:val="34"/>
  </w:num>
  <w:num w:numId="33">
    <w:abstractNumId w:val="1"/>
  </w:num>
  <w:num w:numId="34">
    <w:abstractNumId w:val="36"/>
  </w:num>
  <w:num w:numId="35">
    <w:abstractNumId w:val="33"/>
  </w:num>
  <w:num w:numId="36">
    <w:abstractNumId w:val="21"/>
  </w:num>
  <w:num w:numId="37">
    <w:abstractNumId w:val="3"/>
  </w:num>
  <w:num w:numId="38">
    <w:abstractNumId w:val="5"/>
  </w:num>
  <w:num w:numId="39">
    <w:abstractNumId w:val="29"/>
  </w:num>
  <w:num w:numId="40">
    <w:abstractNumId w:val="27"/>
  </w:num>
  <w:num w:numId="41">
    <w:abstractNumId w:val="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28"/>
    <w:rsid w:val="00121E13"/>
    <w:rsid w:val="00203501"/>
    <w:rsid w:val="00455D40"/>
    <w:rsid w:val="0056196E"/>
    <w:rsid w:val="006503EB"/>
    <w:rsid w:val="006D5F60"/>
    <w:rsid w:val="0072403B"/>
    <w:rsid w:val="00BC5825"/>
    <w:rsid w:val="00E150A9"/>
    <w:rsid w:val="00EE6984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159C"/>
  <w15:chartTrackingRefBased/>
  <w15:docId w15:val="{6C54E1AF-0870-441C-AA42-C78C8D9F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04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428"/>
  </w:style>
  <w:style w:type="paragraph" w:styleId="Footer">
    <w:name w:val="footer"/>
    <w:basedOn w:val="Normal"/>
    <w:link w:val="FooterChar"/>
    <w:uiPriority w:val="99"/>
    <w:unhideWhenUsed/>
    <w:rsid w:val="00FF0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428"/>
  </w:style>
  <w:style w:type="paragraph" w:styleId="ListParagraph">
    <w:name w:val="List Paragraph"/>
    <w:basedOn w:val="Normal"/>
    <w:uiPriority w:val="34"/>
    <w:qFormat/>
    <w:rsid w:val="00FF04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1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9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168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9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788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49922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72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83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531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332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194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386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146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565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971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40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2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55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39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097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949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601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976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891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01272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97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772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771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332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0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4816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348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609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432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548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90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059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375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529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06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017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109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868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876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593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578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825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8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66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368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596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015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579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14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5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03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3518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578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79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01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56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053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278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55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690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043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17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50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413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805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88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385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897">
          <w:marLeft w:val="22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97">
          <w:marLeft w:val="22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585">
          <w:marLeft w:val="22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455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337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448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47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50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429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472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89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8391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744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072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044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476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562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493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321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015">
          <w:marLeft w:val="161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668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567">
          <w:marLeft w:val="28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9113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55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4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772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74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65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ology.wa.gov/Regulations-Permits/Laws-rules-rulemaking/Rulemaking/WAC-173-44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ology.wa.gov/Regulations-Permits/Laws-rules-rulemaking/Rulemaking/WAC-173-44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cology.wa.gov/Regulations-Permits/Laws-rules-rulemaking/Rulemaking/WAC-173-44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1A381A7BF6E4199901A1A349F8A80" ma:contentTypeVersion="1" ma:contentTypeDescription="Create a new document." ma:contentTypeScope="" ma:versionID="9f1188aad52d1170487be14ae7f5671e">
  <xsd:schema xmlns:xsd="http://www.w3.org/2001/XMLSchema" xmlns:xs="http://www.w3.org/2001/XMLSchema" xmlns:p="http://schemas.microsoft.com/office/2006/metadata/properties" xmlns:ns2="52011053-ca64-4a79-8f7d-8a873c5a81d7" targetNamespace="http://schemas.microsoft.com/office/2006/metadata/properties" ma:root="true" ma:fieldsID="45bcf5a7430b8b6af390a2d60d9ade2b" ns2:_="">
    <xsd:import namespace="52011053-ca64-4a79-8f7d-8a873c5a81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1053-ca64-4a79-8f7d-8a873c5a81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21DC2-4DB9-450A-81BF-3D443B2B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11053-ca64-4a79-8f7d-8a873c5a8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AF5BA-0AE0-4F96-A1BA-14016600FDA4}">
  <ds:schemaRefs>
    <ds:schemaRef ds:uri="http://schemas.openxmlformats.org/package/2006/metadata/core-properties"/>
    <ds:schemaRef ds:uri="52011053-ca64-4a79-8f7d-8a873c5a81d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F45DE5-916D-4AA9-B0D8-6126741F5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Butorac, Diane (ECY)</dc:creator>
  <cp:keywords/>
  <dc:description/>
  <cp:lastModifiedBy>Butorac, Diane (ECY)</cp:lastModifiedBy>
  <cp:revision>6</cp:revision>
  <dcterms:created xsi:type="dcterms:W3CDTF">2020-08-19T18:33:00Z</dcterms:created>
  <dcterms:modified xsi:type="dcterms:W3CDTF">2020-08-24T17:47:00Z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0x01010077C1A381A7BF6E4199901A1A349F8A80</vt:lpwstr>
  </property>
</Properties>
</file>