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BD" w:rsidRPr="009953AA" w:rsidRDefault="00B35991" w:rsidP="009953AA">
      <w:pPr>
        <w:spacing w:after="0"/>
        <w:jc w:val="center"/>
        <w:rPr>
          <w:b/>
        </w:rPr>
      </w:pPr>
      <w:r w:rsidRPr="009953AA">
        <w:rPr>
          <w:b/>
        </w:rPr>
        <w:t>Reclaimed Water Rule Making Advisory Committee</w:t>
      </w:r>
    </w:p>
    <w:p w:rsidR="00B35991" w:rsidRPr="009953AA" w:rsidRDefault="00B35991" w:rsidP="009953AA">
      <w:pPr>
        <w:spacing w:after="0"/>
        <w:jc w:val="center"/>
        <w:rPr>
          <w:b/>
        </w:rPr>
      </w:pPr>
      <w:r w:rsidRPr="009953AA">
        <w:rPr>
          <w:b/>
        </w:rPr>
        <w:t>Meeting Notes</w:t>
      </w:r>
    </w:p>
    <w:p w:rsidR="00B35991" w:rsidRPr="009953AA" w:rsidRDefault="00C4756A" w:rsidP="009953AA">
      <w:pPr>
        <w:spacing w:after="0"/>
        <w:jc w:val="center"/>
        <w:rPr>
          <w:b/>
        </w:rPr>
      </w:pPr>
      <w:r>
        <w:rPr>
          <w:b/>
        </w:rPr>
        <w:t>Tuesday, March 31, 2015</w:t>
      </w:r>
    </w:p>
    <w:p w:rsidR="00B35991" w:rsidRDefault="00F81DCE" w:rsidP="008F4873">
      <w:pPr>
        <w:spacing w:after="120"/>
      </w:pPr>
      <w:r>
        <w:t>Attendees: see attachment</w:t>
      </w:r>
    </w:p>
    <w:p w:rsidR="00B35991" w:rsidRPr="007A3D5A" w:rsidRDefault="00C4756A" w:rsidP="008F4873">
      <w:pPr>
        <w:spacing w:after="0"/>
        <w:rPr>
          <w:b/>
        </w:rPr>
      </w:pPr>
      <w:r>
        <w:rPr>
          <w:b/>
        </w:rPr>
        <w:t>Introductions:</w:t>
      </w:r>
    </w:p>
    <w:p w:rsidR="00AF55E8" w:rsidRDefault="00C4756A" w:rsidP="00A35AEE">
      <w:pPr>
        <w:pStyle w:val="ListParagraph"/>
        <w:numPr>
          <w:ilvl w:val="0"/>
          <w:numId w:val="3"/>
        </w:numPr>
      </w:pPr>
      <w:r>
        <w:t>Heather Bartlett, WQP Manager, welcomed and thanked the Advisory Committee members for their contributions, nearly 300 comments on the Rule with 76% affected revisions to the Rule.  Staff is working on the Purple Book and will have the Advisory Committee review before the Public Comment periods starts.</w:t>
      </w:r>
    </w:p>
    <w:p w:rsidR="00C4756A" w:rsidRDefault="00C4756A" w:rsidP="00BE4C4E">
      <w:pPr>
        <w:pStyle w:val="ListParagraph"/>
        <w:numPr>
          <w:ilvl w:val="0"/>
          <w:numId w:val="3"/>
        </w:numPr>
        <w:spacing w:after="120"/>
      </w:pPr>
      <w:r>
        <w:t xml:space="preserve">Kathleen Emmett, </w:t>
      </w:r>
      <w:r w:rsidR="00B85067">
        <w:t xml:space="preserve">WQP’s </w:t>
      </w:r>
      <w:r w:rsidR="00C506BB">
        <w:t xml:space="preserve">Municipal Unit </w:t>
      </w:r>
      <w:r>
        <w:t>Supervisor, thanked the committee for their comments and will look into developing funding incentives for reclaimed water projects</w:t>
      </w:r>
    </w:p>
    <w:p w:rsidR="00C4756A" w:rsidRPr="00C4756A" w:rsidRDefault="00C4756A" w:rsidP="00BE4C4E">
      <w:pPr>
        <w:spacing w:after="120"/>
        <w:rPr>
          <w:b/>
        </w:rPr>
      </w:pPr>
      <w:r w:rsidRPr="00C4756A">
        <w:rPr>
          <w:b/>
        </w:rPr>
        <w:t>Revised Preliminary Draft Rule Presentation:</w:t>
      </w:r>
    </w:p>
    <w:p w:rsidR="00926251" w:rsidRDefault="00A35AEE" w:rsidP="00BE4C4E">
      <w:pPr>
        <w:pStyle w:val="ListParagraph"/>
        <w:numPr>
          <w:ilvl w:val="0"/>
          <w:numId w:val="3"/>
        </w:numPr>
        <w:spacing w:after="120"/>
      </w:pPr>
      <w:r>
        <w:t xml:space="preserve">Ecology and Health staff presented the revisions made to </w:t>
      </w:r>
      <w:r w:rsidR="00B85067">
        <w:t xml:space="preserve">each Section of </w:t>
      </w:r>
      <w:r>
        <w:t>the Rule</w:t>
      </w:r>
      <w:r w:rsidR="00C506BB">
        <w:t xml:space="preserve"> </w:t>
      </w:r>
      <w:r>
        <w:t xml:space="preserve">and opened </w:t>
      </w:r>
      <w:r w:rsidR="00C506BB">
        <w:t>the discussion for</w:t>
      </w:r>
      <w:r>
        <w:t xml:space="preserve"> questions </w:t>
      </w:r>
      <w:r w:rsidR="00B85067">
        <w:t>and</w:t>
      </w:r>
      <w:r>
        <w:t xml:space="preserve"> clarification.  </w:t>
      </w:r>
      <w:r w:rsidR="00B85067">
        <w:t>Comments proposed are</w:t>
      </w:r>
      <w:r w:rsidR="005938DE">
        <w:t xml:space="preserve"> requested </w:t>
      </w:r>
      <w:r w:rsidR="00B85067">
        <w:t xml:space="preserve">to </w:t>
      </w:r>
      <w:r w:rsidR="005938DE">
        <w:t>be provided during the Public Comment Period.</w:t>
      </w:r>
    </w:p>
    <w:p w:rsidR="00A35AEE" w:rsidRPr="00A35AEE" w:rsidRDefault="00A35AEE" w:rsidP="00A35AEE">
      <w:pPr>
        <w:spacing w:after="0"/>
        <w:rPr>
          <w:b/>
        </w:rPr>
      </w:pPr>
      <w:r w:rsidRPr="00A35AEE">
        <w:rPr>
          <w:b/>
        </w:rPr>
        <w:t>Purple Book Drafting</w:t>
      </w:r>
    </w:p>
    <w:p w:rsidR="00A35AEE" w:rsidRDefault="00A35AEE" w:rsidP="00A35AEE">
      <w:pPr>
        <w:pStyle w:val="ListParagraph"/>
        <w:numPr>
          <w:ilvl w:val="0"/>
          <w:numId w:val="6"/>
        </w:numPr>
        <w:spacing w:after="120"/>
      </w:pPr>
      <w:r>
        <w:t>Ecology and DOH staff have been reviewing and revising the Reclaimed Water Treatment Facilities Manual: the Purple Book.</w:t>
      </w:r>
    </w:p>
    <w:p w:rsidR="00A35AEE" w:rsidRDefault="00896912" w:rsidP="00A35AEE">
      <w:pPr>
        <w:pStyle w:val="ListParagraph"/>
        <w:numPr>
          <w:ilvl w:val="0"/>
          <w:numId w:val="6"/>
        </w:numPr>
        <w:spacing w:after="120"/>
      </w:pPr>
      <w:r>
        <w:t>Requested RAC members volunteer to review and comment on the Manual.  The following members agreed to participate: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Ben Brattebo, Spokane County Utilities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Karla Fowler, LOTT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John Poppe, Silverdale Utility District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Jay Swift, Gray &amp; Osborne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Pete Tjemsland, Sequim, WA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Stella Vakarcs, Kitsap County</w:t>
      </w:r>
    </w:p>
    <w:p w:rsidR="00896912" w:rsidRPr="00C919D0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Kristina Westbrook, King County</w:t>
      </w:r>
    </w:p>
    <w:p w:rsidR="00896912" w:rsidRDefault="00896912" w:rsidP="00896912">
      <w:pPr>
        <w:pStyle w:val="ListParagraph"/>
        <w:numPr>
          <w:ilvl w:val="1"/>
          <w:numId w:val="6"/>
        </w:numPr>
        <w:spacing w:after="120"/>
        <w:rPr>
          <w:sz w:val="20"/>
          <w:szCs w:val="20"/>
        </w:rPr>
      </w:pPr>
      <w:r w:rsidRPr="00C919D0">
        <w:rPr>
          <w:sz w:val="20"/>
          <w:szCs w:val="20"/>
        </w:rPr>
        <w:t>Lynn Williams, Brown &amp; Caldwell</w:t>
      </w:r>
    </w:p>
    <w:p w:rsidR="002534F2" w:rsidRPr="002534F2" w:rsidRDefault="002534F2" w:rsidP="002534F2">
      <w:pPr>
        <w:spacing w:after="0"/>
        <w:rPr>
          <w:b/>
        </w:rPr>
      </w:pPr>
      <w:r>
        <w:rPr>
          <w:b/>
        </w:rPr>
        <w:t>Public Outr</w:t>
      </w:r>
      <w:r w:rsidRPr="002534F2">
        <w:rPr>
          <w:b/>
        </w:rPr>
        <w:t>each</w:t>
      </w:r>
    </w:p>
    <w:p w:rsidR="002534F2" w:rsidRDefault="002534F2" w:rsidP="002534F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Provi</w:t>
      </w:r>
      <w:r w:rsidR="00CA7DCA">
        <w:rPr>
          <w:sz w:val="20"/>
          <w:szCs w:val="20"/>
        </w:rPr>
        <w:t>ded proposed outreach plans</w:t>
      </w:r>
      <w:r>
        <w:rPr>
          <w:sz w:val="20"/>
          <w:szCs w:val="20"/>
        </w:rPr>
        <w:t xml:space="preserve"> for Public Comment Period: website, LISTSERV, RAC direct email, News Release, etc.</w:t>
      </w:r>
    </w:p>
    <w:p w:rsidR="002534F2" w:rsidRPr="002534F2" w:rsidRDefault="002534F2" w:rsidP="002534F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Requesting RAC suggestions for additional outreach and assistance distributing announcements</w:t>
      </w:r>
    </w:p>
    <w:p w:rsidR="00A35AEE" w:rsidRPr="00A35AEE" w:rsidRDefault="00A35AEE" w:rsidP="00A35AEE">
      <w:pPr>
        <w:spacing w:after="0"/>
        <w:rPr>
          <w:b/>
        </w:rPr>
      </w:pPr>
      <w:r w:rsidRPr="00A35AEE">
        <w:rPr>
          <w:b/>
        </w:rPr>
        <w:t>Rulemaking/Drafting Timeline</w:t>
      </w:r>
    </w:p>
    <w:p w:rsidR="00896912" w:rsidRDefault="00896912" w:rsidP="00896912">
      <w:pPr>
        <w:pStyle w:val="ListParagraph"/>
        <w:numPr>
          <w:ilvl w:val="0"/>
          <w:numId w:val="7"/>
        </w:numPr>
        <w:spacing w:after="120"/>
      </w:pPr>
      <w:r>
        <w:t>After today, the Preliminary Draft Rule will be the Propose Rule for the next rulemaking phase of Public Comment process</w:t>
      </w:r>
    </w:p>
    <w:p w:rsidR="00A35AEE" w:rsidRPr="00C919D0" w:rsidRDefault="00896912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April 3 – Ecology and Health staff finish revising the Purple Book</w:t>
      </w:r>
    </w:p>
    <w:p w:rsidR="00896912" w:rsidRPr="00C919D0" w:rsidRDefault="00896912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~April 13 – Draft of the Purple Book distributed to the RAC reviewers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Friday, May 1 – RAC members complete review and comment to the Purple Book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Week of May 4</w:t>
      </w:r>
      <w:r w:rsidRPr="00C919D0">
        <w:rPr>
          <w:sz w:val="20"/>
          <w:szCs w:val="20"/>
          <w:vertAlign w:val="superscript"/>
        </w:rPr>
        <w:t>th</w:t>
      </w:r>
      <w:r w:rsidRPr="00C919D0">
        <w:rPr>
          <w:sz w:val="20"/>
          <w:szCs w:val="20"/>
        </w:rPr>
        <w:t xml:space="preserve"> – RAC member meet with Ecology and DOH to walk through Purple Book revisions.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April-May Ecology staff prepare documents for Ecology Deputy Director CR-102 Signature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~June 19 Deputy Director signs CR-102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June 22 – CR-102 Published starting the Public Comment Period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~July 21 Public Workshop in Eastern Washington (based on site availability)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~July 23 Public Hearing via Webinar/HQ auditorium (based on site availability)</w:t>
      </w:r>
    </w:p>
    <w:p w:rsidR="00C919D0" w:rsidRPr="00C919D0" w:rsidRDefault="00C919D0" w:rsidP="00896912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19D0">
        <w:rPr>
          <w:sz w:val="20"/>
          <w:szCs w:val="20"/>
        </w:rPr>
        <w:t>August 21 – End of the Public Comment Period</w:t>
      </w:r>
    </w:p>
    <w:p w:rsidR="00530031" w:rsidRDefault="00C919D0" w:rsidP="002534F2">
      <w:pPr>
        <w:pStyle w:val="ListParagraph"/>
        <w:numPr>
          <w:ilvl w:val="0"/>
          <w:numId w:val="7"/>
        </w:numPr>
        <w:spacing w:after="0"/>
      </w:pPr>
      <w:r w:rsidRPr="002534F2">
        <w:rPr>
          <w:sz w:val="20"/>
          <w:szCs w:val="20"/>
        </w:rPr>
        <w:t>September – develop responses to Public Comments</w:t>
      </w:r>
      <w:r w:rsidR="00530031">
        <w:br w:type="page"/>
      </w:r>
    </w:p>
    <w:p w:rsidR="00530031" w:rsidRDefault="001751C7" w:rsidP="00530031">
      <w:r>
        <w:rPr>
          <w:noProof/>
        </w:rPr>
        <w:lastRenderedPageBreak/>
        <w:drawing>
          <wp:inline distT="0" distB="0" distL="0" distR="0">
            <wp:extent cx="4589281" cy="8785555"/>
            <wp:effectExtent l="19050" t="0" r="1769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60" cy="87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031" w:rsidRDefault="00530031" w:rsidP="00530031"/>
    <w:p w:rsidR="001751C7" w:rsidRDefault="001751C7" w:rsidP="00530031">
      <w:r>
        <w:rPr>
          <w:noProof/>
        </w:rPr>
        <w:drawing>
          <wp:inline distT="0" distB="0" distL="0" distR="0">
            <wp:extent cx="4743145" cy="2504565"/>
            <wp:effectExtent l="19050" t="0" r="30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2" cy="250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1C7" w:rsidSect="002534F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269" w:rsidRDefault="00355269" w:rsidP="00277F54">
      <w:pPr>
        <w:spacing w:after="0" w:line="240" w:lineRule="auto"/>
      </w:pPr>
      <w:r>
        <w:separator/>
      </w:r>
    </w:p>
  </w:endnote>
  <w:endnote w:type="continuationSeparator" w:id="0">
    <w:p w:rsidR="00355269" w:rsidRDefault="00355269" w:rsidP="0027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269" w:rsidRDefault="00355269" w:rsidP="00277F54">
      <w:pPr>
        <w:spacing w:after="0" w:line="240" w:lineRule="auto"/>
      </w:pPr>
      <w:r>
        <w:separator/>
      </w:r>
    </w:p>
  </w:footnote>
  <w:footnote w:type="continuationSeparator" w:id="0">
    <w:p w:rsidR="00355269" w:rsidRDefault="00355269" w:rsidP="0027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61566"/>
      <w:docPartObj>
        <w:docPartGallery w:val="Watermarks"/>
        <w:docPartUnique/>
      </w:docPartObj>
    </w:sdtPr>
    <w:sdtContent>
      <w:p w:rsidR="00355269" w:rsidRDefault="0035526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BC"/>
    <w:multiLevelType w:val="hybridMultilevel"/>
    <w:tmpl w:val="538E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03725"/>
    <w:multiLevelType w:val="hybridMultilevel"/>
    <w:tmpl w:val="7404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A1AEB"/>
    <w:multiLevelType w:val="hybridMultilevel"/>
    <w:tmpl w:val="DE46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D7F9E"/>
    <w:multiLevelType w:val="hybridMultilevel"/>
    <w:tmpl w:val="68702A66"/>
    <w:lvl w:ilvl="0" w:tplc="F558B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46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8A6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D4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3E2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068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4AF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7C8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63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EC67DB"/>
    <w:multiLevelType w:val="hybridMultilevel"/>
    <w:tmpl w:val="1F34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7841"/>
    <w:multiLevelType w:val="hybridMultilevel"/>
    <w:tmpl w:val="FCB8B494"/>
    <w:lvl w:ilvl="0" w:tplc="C2886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60C4A"/>
    <w:multiLevelType w:val="hybridMultilevel"/>
    <w:tmpl w:val="3EC0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373E1"/>
    <w:multiLevelType w:val="hybridMultilevel"/>
    <w:tmpl w:val="B46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991"/>
    <w:rsid w:val="00005A3E"/>
    <w:rsid w:val="000335B4"/>
    <w:rsid w:val="0007781B"/>
    <w:rsid w:val="00133716"/>
    <w:rsid w:val="001478E8"/>
    <w:rsid w:val="00155D74"/>
    <w:rsid w:val="001751C7"/>
    <w:rsid w:val="00203FA4"/>
    <w:rsid w:val="002534F2"/>
    <w:rsid w:val="00271DC5"/>
    <w:rsid w:val="00274773"/>
    <w:rsid w:val="00277F54"/>
    <w:rsid w:val="002B38C0"/>
    <w:rsid w:val="002B7643"/>
    <w:rsid w:val="002C2C8D"/>
    <w:rsid w:val="00335B4E"/>
    <w:rsid w:val="00355269"/>
    <w:rsid w:val="00380ADC"/>
    <w:rsid w:val="003934CC"/>
    <w:rsid w:val="003A66FD"/>
    <w:rsid w:val="003B2885"/>
    <w:rsid w:val="004A1EDF"/>
    <w:rsid w:val="005013ED"/>
    <w:rsid w:val="00530031"/>
    <w:rsid w:val="00531F51"/>
    <w:rsid w:val="00563A28"/>
    <w:rsid w:val="005770E4"/>
    <w:rsid w:val="005938DE"/>
    <w:rsid w:val="005B03BD"/>
    <w:rsid w:val="005C13F6"/>
    <w:rsid w:val="00654DD8"/>
    <w:rsid w:val="006A4CE2"/>
    <w:rsid w:val="006B1056"/>
    <w:rsid w:val="006C4E40"/>
    <w:rsid w:val="0071307A"/>
    <w:rsid w:val="00746DBF"/>
    <w:rsid w:val="007605BD"/>
    <w:rsid w:val="00760665"/>
    <w:rsid w:val="007A3D5A"/>
    <w:rsid w:val="00810488"/>
    <w:rsid w:val="0081474B"/>
    <w:rsid w:val="00865D46"/>
    <w:rsid w:val="0086688B"/>
    <w:rsid w:val="008879EF"/>
    <w:rsid w:val="00896912"/>
    <w:rsid w:val="008F4873"/>
    <w:rsid w:val="00902A33"/>
    <w:rsid w:val="00926251"/>
    <w:rsid w:val="00982279"/>
    <w:rsid w:val="009953AA"/>
    <w:rsid w:val="009C1773"/>
    <w:rsid w:val="009C2C18"/>
    <w:rsid w:val="009C32D8"/>
    <w:rsid w:val="009D3B6E"/>
    <w:rsid w:val="009D5C08"/>
    <w:rsid w:val="009E4269"/>
    <w:rsid w:val="00A10AF2"/>
    <w:rsid w:val="00A176F6"/>
    <w:rsid w:val="00A33F30"/>
    <w:rsid w:val="00A35AEE"/>
    <w:rsid w:val="00A81326"/>
    <w:rsid w:val="00AA1387"/>
    <w:rsid w:val="00AF55E8"/>
    <w:rsid w:val="00AF5B5B"/>
    <w:rsid w:val="00AF6CA7"/>
    <w:rsid w:val="00B14F5B"/>
    <w:rsid w:val="00B27127"/>
    <w:rsid w:val="00B35991"/>
    <w:rsid w:val="00B85067"/>
    <w:rsid w:val="00BE4C4E"/>
    <w:rsid w:val="00BF1206"/>
    <w:rsid w:val="00C00D53"/>
    <w:rsid w:val="00C43769"/>
    <w:rsid w:val="00C4756A"/>
    <w:rsid w:val="00C506BB"/>
    <w:rsid w:val="00C85A78"/>
    <w:rsid w:val="00C919D0"/>
    <w:rsid w:val="00C94965"/>
    <w:rsid w:val="00CA7DCA"/>
    <w:rsid w:val="00D14FF6"/>
    <w:rsid w:val="00DF1CD6"/>
    <w:rsid w:val="00E1387E"/>
    <w:rsid w:val="00E63758"/>
    <w:rsid w:val="00E65DA0"/>
    <w:rsid w:val="00E96205"/>
    <w:rsid w:val="00ED3EA0"/>
    <w:rsid w:val="00F40039"/>
    <w:rsid w:val="00F72AB5"/>
    <w:rsid w:val="00F81DCE"/>
    <w:rsid w:val="00F84F56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D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7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F54"/>
  </w:style>
  <w:style w:type="paragraph" w:styleId="Footer">
    <w:name w:val="footer"/>
    <w:basedOn w:val="Normal"/>
    <w:link w:val="FooterChar"/>
    <w:uiPriority w:val="99"/>
    <w:semiHidden/>
    <w:unhideWhenUsed/>
    <w:rsid w:val="00277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174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729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813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009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874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demc461</dc:creator>
  <cp:lastModifiedBy>demc461</cp:lastModifiedBy>
  <cp:revision>3</cp:revision>
  <cp:lastPrinted>2015-04-15T21:30:00Z</cp:lastPrinted>
  <dcterms:created xsi:type="dcterms:W3CDTF">2015-04-15T21:01:00Z</dcterms:created>
  <dcterms:modified xsi:type="dcterms:W3CDTF">2015-04-15T21:53:00Z</dcterms:modified>
</cp:coreProperties>
</file>