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A6" w:rsidRPr="00E206A6" w:rsidRDefault="00377B59" w:rsidP="00E206A6">
      <w:pPr>
        <w:jc w:val="center"/>
        <w:rPr>
          <w:color w:val="1F497D"/>
          <w:sz w:val="44"/>
          <w:szCs w:val="44"/>
        </w:rPr>
      </w:pPr>
      <w:r>
        <w:rPr>
          <w:color w:val="1F497D"/>
          <w:sz w:val="44"/>
          <w:szCs w:val="44"/>
        </w:rPr>
        <w:t xml:space="preserve">Lower </w:t>
      </w:r>
      <w:r w:rsidR="0093471A">
        <w:rPr>
          <w:color w:val="1F497D"/>
          <w:sz w:val="44"/>
          <w:szCs w:val="44"/>
        </w:rPr>
        <w:t xml:space="preserve">Yakima </w:t>
      </w:r>
      <w:r>
        <w:rPr>
          <w:color w:val="1F497D"/>
          <w:sz w:val="44"/>
          <w:szCs w:val="44"/>
        </w:rPr>
        <w:t xml:space="preserve">Valley Groundwater Management Area </w:t>
      </w:r>
      <w:r w:rsidR="00E206A6" w:rsidRPr="00E206A6">
        <w:rPr>
          <w:color w:val="1F497D"/>
          <w:sz w:val="44"/>
          <w:szCs w:val="44"/>
        </w:rPr>
        <w:t>Frequently Asked Questions</w:t>
      </w:r>
    </w:p>
    <w:p w:rsidR="00E206A6" w:rsidRPr="00E206A6" w:rsidRDefault="00E206A6" w:rsidP="00E206A6">
      <w:pPr>
        <w:rPr>
          <w:color w:val="1F497D"/>
        </w:rPr>
      </w:pPr>
    </w:p>
    <w:p w:rsidR="00B02D7F" w:rsidRPr="00377B59" w:rsidRDefault="0044186A" w:rsidP="00377B59">
      <w:pPr>
        <w:pStyle w:val="Heading1"/>
        <w:spacing w:after="120"/>
      </w:pPr>
      <w:r w:rsidRPr="00377B59">
        <w:t>Language Assistance Services</w:t>
      </w:r>
    </w:p>
    <w:p w:rsidR="004B7129" w:rsidRPr="00731C53" w:rsidRDefault="0044186A" w:rsidP="00377B59">
      <w:pPr>
        <w:pStyle w:val="ListParagraph"/>
        <w:spacing w:after="240"/>
        <w:ind w:left="0"/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Website</w:t>
      </w:r>
      <w:r w:rsidR="000F416D" w:rsidRPr="00731C53">
        <w:rPr>
          <w:rFonts w:ascii="Arial" w:hAnsi="Arial" w:cs="Arial"/>
          <w:sz w:val="23"/>
          <w:szCs w:val="23"/>
        </w:rPr>
        <w:t xml:space="preserve">: </w:t>
      </w:r>
      <w:hyperlink r:id="rId8" w:history="1">
        <w:r w:rsidR="004B7129" w:rsidRPr="00731C53">
          <w:rPr>
            <w:rStyle w:val="Hyperlink"/>
            <w:rFonts w:ascii="Arial" w:hAnsi="Arial" w:cs="Arial"/>
            <w:sz w:val="23"/>
            <w:szCs w:val="23"/>
          </w:rPr>
          <w:t>https://ecology.wa.gov/About-us/Get-to-know-us/Our-Programs/Spanish</w:t>
        </w:r>
      </w:hyperlink>
      <w:r w:rsidR="004B7129" w:rsidRPr="00731C53">
        <w:rPr>
          <w:rFonts w:ascii="Arial" w:hAnsi="Arial" w:cs="Arial"/>
          <w:sz w:val="23"/>
          <w:szCs w:val="23"/>
        </w:rPr>
        <w:t xml:space="preserve"> </w:t>
      </w:r>
    </w:p>
    <w:p w:rsidR="0044186A" w:rsidRPr="00731C53" w:rsidRDefault="004B7129" w:rsidP="00377B59">
      <w:pPr>
        <w:spacing w:after="240"/>
        <w:ind w:left="-720" w:firstLine="720"/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Aviso: </w:t>
      </w:r>
      <w:proofErr w:type="spellStart"/>
      <w:r w:rsidRPr="00731C53">
        <w:rPr>
          <w:rFonts w:ascii="Arial" w:hAnsi="Arial" w:cs="Arial"/>
          <w:sz w:val="23"/>
          <w:szCs w:val="23"/>
        </w:rPr>
        <w:t>interpretación</w:t>
      </w:r>
      <w:proofErr w:type="spellEnd"/>
      <w:r w:rsidRPr="00731C53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1C53">
        <w:rPr>
          <w:rFonts w:ascii="Arial" w:hAnsi="Arial" w:cs="Arial"/>
          <w:sz w:val="23"/>
          <w:szCs w:val="23"/>
        </w:rPr>
        <w:t>en</w:t>
      </w:r>
      <w:proofErr w:type="spellEnd"/>
      <w:r w:rsidRPr="00731C53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1C53">
        <w:rPr>
          <w:rFonts w:ascii="Arial" w:hAnsi="Arial" w:cs="Arial"/>
          <w:sz w:val="23"/>
          <w:szCs w:val="23"/>
        </w:rPr>
        <w:t>español</w:t>
      </w:r>
      <w:proofErr w:type="spellEnd"/>
      <w:r w:rsidRPr="00731C53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1C53">
        <w:rPr>
          <w:rFonts w:ascii="Arial" w:hAnsi="Arial" w:cs="Arial"/>
          <w:sz w:val="23"/>
          <w:szCs w:val="23"/>
        </w:rPr>
        <w:t>disponible</w:t>
      </w:r>
      <w:proofErr w:type="spellEnd"/>
      <w:r w:rsidRPr="00731C53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1C53">
        <w:rPr>
          <w:rFonts w:ascii="Arial" w:hAnsi="Arial" w:cs="Arial"/>
          <w:sz w:val="23"/>
          <w:szCs w:val="23"/>
        </w:rPr>
        <w:t>llamando</w:t>
      </w:r>
      <w:proofErr w:type="spellEnd"/>
      <w:r w:rsidRPr="00731C53">
        <w:rPr>
          <w:rFonts w:ascii="Arial" w:hAnsi="Arial" w:cs="Arial"/>
          <w:sz w:val="23"/>
          <w:szCs w:val="23"/>
        </w:rPr>
        <w:t xml:space="preserve"> al (509) 575-2490.</w:t>
      </w:r>
    </w:p>
    <w:p w:rsidR="004B7129" w:rsidRDefault="004B7129" w:rsidP="00377B59">
      <w:pPr>
        <w:pStyle w:val="Heading2"/>
        <w:spacing w:after="120"/>
      </w:pPr>
      <w:r>
        <w:t>Special accommodations</w:t>
      </w:r>
    </w:p>
    <w:p w:rsidR="004B7129" w:rsidRPr="00731C53" w:rsidRDefault="004B7129" w:rsidP="00731C53">
      <w:pPr>
        <w:spacing w:line="252" w:lineRule="auto"/>
        <w:contextualSpacing/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To request ADA accommodation including materials in a format for the visually impaired, call Ecology at </w:t>
      </w:r>
      <w:r w:rsidR="00E729D5">
        <w:rPr>
          <w:rFonts w:ascii="Arial" w:hAnsi="Arial" w:cs="Arial"/>
          <w:sz w:val="23"/>
          <w:szCs w:val="23"/>
        </w:rPr>
        <w:t>509-575-2490</w:t>
      </w:r>
      <w:r w:rsidRPr="00731C53">
        <w:rPr>
          <w:rFonts w:ascii="Arial" w:hAnsi="Arial" w:cs="Arial"/>
          <w:sz w:val="23"/>
          <w:szCs w:val="23"/>
        </w:rPr>
        <w:t xml:space="preserve"> or visit </w:t>
      </w:r>
      <w:hyperlink r:id="rId9" w:tooltip="Link to Ecology website Accessibility page" w:history="1">
        <w:r w:rsidRPr="00731C53">
          <w:rPr>
            <w:rStyle w:val="Hyperlink"/>
            <w:rFonts w:ascii="Arial" w:hAnsi="Arial" w:cs="Arial"/>
            <w:sz w:val="23"/>
            <w:szCs w:val="23"/>
          </w:rPr>
          <w:t>https://ecology.wa.gov/accessibility</w:t>
        </w:r>
      </w:hyperlink>
      <w:r w:rsidRPr="00731C53">
        <w:rPr>
          <w:rFonts w:ascii="Arial" w:hAnsi="Arial" w:cs="Arial"/>
          <w:sz w:val="23"/>
          <w:szCs w:val="23"/>
        </w:rPr>
        <w:t>. People with impaired hearing may call Washington Relay Service at 711. People with speech disability may call TTY at 877-833-6341.</w:t>
      </w:r>
    </w:p>
    <w:p w:rsidR="004B7129" w:rsidRPr="00377B59" w:rsidRDefault="004B7129" w:rsidP="00377B59">
      <w:pPr>
        <w:pStyle w:val="Heading2"/>
        <w:spacing w:after="120"/>
        <w:rPr>
          <w:lang w:val="es-MX"/>
        </w:rPr>
      </w:pPr>
      <w:r w:rsidRPr="00377B59">
        <w:rPr>
          <w:lang w:val="es-MX"/>
        </w:rPr>
        <w:t>In español:</w:t>
      </w:r>
    </w:p>
    <w:p w:rsidR="00995271" w:rsidRPr="00731C53" w:rsidRDefault="004B7129" w:rsidP="00731C53">
      <w:pPr>
        <w:rPr>
          <w:rFonts w:ascii="Arial" w:hAnsi="Arial" w:cs="Arial"/>
          <w:sz w:val="23"/>
          <w:szCs w:val="23"/>
          <w:lang w:val="es-MX"/>
        </w:rPr>
      </w:pPr>
      <w:r w:rsidRPr="00731C53">
        <w:rPr>
          <w:rFonts w:ascii="Arial" w:hAnsi="Arial" w:cs="Arial"/>
          <w:sz w:val="23"/>
          <w:szCs w:val="23"/>
          <w:lang w:val="es-MX"/>
        </w:rPr>
        <w:t xml:space="preserve">Para solicitar materiales en un formato para personas con discapacidad visual, visite </w:t>
      </w:r>
      <w:hyperlink r:id="rId10" w:history="1">
        <w:r w:rsidRPr="00731C53">
          <w:rPr>
            <w:rStyle w:val="Hyperlink"/>
            <w:rFonts w:ascii="Arial" w:hAnsi="Arial" w:cs="Arial"/>
            <w:sz w:val="23"/>
            <w:szCs w:val="23"/>
          </w:rPr>
          <w:t>https://ecology.wa.gov/accessibility</w:t>
        </w:r>
      </w:hyperlink>
      <w:r w:rsidR="00731C53">
        <w:rPr>
          <w:rStyle w:val="Hyperlink"/>
          <w:rFonts w:ascii="Arial" w:hAnsi="Arial" w:cs="Arial"/>
          <w:sz w:val="23"/>
          <w:szCs w:val="23"/>
          <w:u w:val="none"/>
        </w:rPr>
        <w:t>,</w:t>
      </w:r>
      <w:r w:rsidR="00731C53">
        <w:rPr>
          <w:rFonts w:ascii="Arial" w:hAnsi="Arial" w:cs="Arial"/>
          <w:sz w:val="23"/>
          <w:szCs w:val="23"/>
        </w:rPr>
        <w:t xml:space="preserve"> </w:t>
      </w:r>
      <w:r w:rsidRPr="00731C53">
        <w:rPr>
          <w:rFonts w:ascii="Arial" w:hAnsi="Arial" w:cs="Arial"/>
          <w:sz w:val="23"/>
          <w:szCs w:val="23"/>
          <w:lang w:val="es-MX"/>
        </w:rPr>
        <w:t xml:space="preserve">comuníquese con Ecología al </w:t>
      </w:r>
      <w:r w:rsidR="00E729D5">
        <w:rPr>
          <w:rFonts w:ascii="Arial" w:hAnsi="Arial" w:cs="Arial"/>
          <w:sz w:val="23"/>
          <w:szCs w:val="23"/>
          <w:lang w:val="es-MX"/>
        </w:rPr>
        <w:t>509-575-2490</w:t>
      </w:r>
      <w:r w:rsidRPr="00731C53">
        <w:rPr>
          <w:rFonts w:ascii="Arial" w:hAnsi="Arial" w:cs="Arial"/>
          <w:sz w:val="23"/>
          <w:szCs w:val="23"/>
          <w:lang w:val="es-MX"/>
        </w:rPr>
        <w:t xml:space="preserve"> Servicio de Retransmisión al 711, o TTY al 877-833-6341.</w:t>
      </w:r>
    </w:p>
    <w:p w:rsidR="0044186A" w:rsidRPr="0044186A" w:rsidRDefault="0044186A" w:rsidP="00377B59">
      <w:pPr>
        <w:pStyle w:val="Heading1"/>
        <w:spacing w:after="120"/>
      </w:pPr>
      <w:r>
        <w:t>What is a Groundwater Management Area (GWMA)?</w:t>
      </w:r>
    </w:p>
    <w:p w:rsidR="00A11864" w:rsidRPr="00731C53" w:rsidRDefault="00FA53AC" w:rsidP="00377B59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Purpose</w:t>
      </w:r>
      <w:r w:rsidRPr="00731C53">
        <w:rPr>
          <w:rFonts w:ascii="Arial" w:hAnsi="Arial" w:cs="Arial"/>
          <w:color w:val="1F497D"/>
          <w:sz w:val="23"/>
          <w:szCs w:val="23"/>
        </w:rPr>
        <w:t xml:space="preserve"> </w:t>
      </w:r>
      <w:r w:rsidR="00D5648A" w:rsidRPr="00731C53">
        <w:rPr>
          <w:rFonts w:ascii="Arial" w:hAnsi="Arial" w:cs="Arial"/>
          <w:sz w:val="23"/>
          <w:szCs w:val="23"/>
        </w:rPr>
        <w:t xml:space="preserve">of a GWMA </w:t>
      </w:r>
      <w:r w:rsidR="00D5648A" w:rsidRPr="00731C53">
        <w:rPr>
          <w:rFonts w:ascii="Arial" w:hAnsi="Arial" w:cs="Arial"/>
          <w:color w:val="1F497D"/>
          <w:sz w:val="23"/>
          <w:szCs w:val="23"/>
        </w:rPr>
        <w:t>–</w:t>
      </w:r>
      <w:r w:rsidRPr="00731C53">
        <w:rPr>
          <w:rFonts w:ascii="Arial" w:hAnsi="Arial" w:cs="Arial"/>
          <w:color w:val="1F497D"/>
          <w:sz w:val="23"/>
          <w:szCs w:val="23"/>
        </w:rPr>
        <w:t xml:space="preserve"> </w:t>
      </w:r>
      <w:r w:rsidR="00D5648A" w:rsidRPr="00731C53">
        <w:rPr>
          <w:rFonts w:ascii="Arial" w:hAnsi="Arial" w:cs="Arial"/>
          <w:sz w:val="23"/>
          <w:szCs w:val="23"/>
        </w:rPr>
        <w:t>guide</w:t>
      </w:r>
      <w:r w:rsidR="00D5648A" w:rsidRPr="00731C53">
        <w:rPr>
          <w:rFonts w:ascii="Arial" w:hAnsi="Arial" w:cs="Arial"/>
          <w:color w:val="1F497D"/>
          <w:sz w:val="23"/>
          <w:szCs w:val="23"/>
        </w:rPr>
        <w:t xml:space="preserve"> </w:t>
      </w:r>
      <w:r w:rsidRPr="00731C53">
        <w:rPr>
          <w:rFonts w:ascii="Arial" w:hAnsi="Arial" w:cs="Arial"/>
          <w:sz w:val="23"/>
          <w:szCs w:val="23"/>
        </w:rPr>
        <w:t xml:space="preserve">the development of </w:t>
      </w:r>
      <w:proofErr w:type="gramStart"/>
      <w:r w:rsidRPr="00731C53">
        <w:rPr>
          <w:rFonts w:ascii="Arial" w:hAnsi="Arial" w:cs="Arial"/>
          <w:sz w:val="23"/>
          <w:szCs w:val="23"/>
        </w:rPr>
        <w:t>site specific</w:t>
      </w:r>
      <w:proofErr w:type="gramEnd"/>
      <w:r w:rsidRPr="00731C53">
        <w:rPr>
          <w:rFonts w:ascii="Arial" w:hAnsi="Arial" w:cs="Arial"/>
          <w:sz w:val="23"/>
          <w:szCs w:val="23"/>
        </w:rPr>
        <w:t xml:space="preserve"> groundwater management programs, in order to protect groundwater quality, to assure groundwater quantity, and</w:t>
      </w:r>
      <w:r w:rsidR="00D5648A" w:rsidRPr="00731C53">
        <w:rPr>
          <w:rFonts w:ascii="Arial" w:hAnsi="Arial" w:cs="Arial"/>
          <w:sz w:val="23"/>
          <w:szCs w:val="23"/>
        </w:rPr>
        <w:t>/or</w:t>
      </w:r>
      <w:r w:rsidRPr="00731C53">
        <w:rPr>
          <w:rFonts w:ascii="Arial" w:hAnsi="Arial" w:cs="Arial"/>
          <w:sz w:val="23"/>
          <w:szCs w:val="23"/>
        </w:rPr>
        <w:t xml:space="preserve"> to provide for efficient management of water resources for meeting future needs while rec</w:t>
      </w:r>
      <w:r w:rsidR="00BD5260" w:rsidRPr="00731C53">
        <w:rPr>
          <w:rFonts w:ascii="Arial" w:hAnsi="Arial" w:cs="Arial"/>
          <w:sz w:val="23"/>
          <w:szCs w:val="23"/>
        </w:rPr>
        <w:t xml:space="preserve">ognizing existing water rights.  </w:t>
      </w:r>
      <w:r w:rsidR="00A11864" w:rsidRPr="00731C53">
        <w:rPr>
          <w:rFonts w:ascii="Arial" w:hAnsi="Arial" w:cs="Arial"/>
          <w:sz w:val="23"/>
          <w:szCs w:val="23"/>
        </w:rPr>
        <w:t>In the Low</w:t>
      </w:r>
      <w:r w:rsidR="00957DA4" w:rsidRPr="00731C53">
        <w:rPr>
          <w:rFonts w:ascii="Arial" w:hAnsi="Arial" w:cs="Arial"/>
          <w:sz w:val="23"/>
          <w:szCs w:val="23"/>
        </w:rPr>
        <w:t xml:space="preserve">er Yakima </w:t>
      </w:r>
      <w:proofErr w:type="gramStart"/>
      <w:r w:rsidR="00957DA4" w:rsidRPr="00731C53">
        <w:rPr>
          <w:rFonts w:ascii="Arial" w:hAnsi="Arial" w:cs="Arial"/>
          <w:sz w:val="23"/>
          <w:szCs w:val="23"/>
        </w:rPr>
        <w:t>Valley</w:t>
      </w:r>
      <w:proofErr w:type="gramEnd"/>
      <w:r w:rsidR="00957DA4" w:rsidRPr="00731C53">
        <w:rPr>
          <w:rFonts w:ascii="Arial" w:hAnsi="Arial" w:cs="Arial"/>
          <w:sz w:val="23"/>
          <w:szCs w:val="23"/>
        </w:rPr>
        <w:t xml:space="preserve"> the focus is</w:t>
      </w:r>
      <w:r w:rsidR="00A11864" w:rsidRPr="00731C53">
        <w:rPr>
          <w:rFonts w:ascii="Arial" w:hAnsi="Arial" w:cs="Arial"/>
          <w:sz w:val="23"/>
          <w:szCs w:val="23"/>
        </w:rPr>
        <w:t xml:space="preserve"> water quality</w:t>
      </w:r>
      <w:r w:rsidR="00995271" w:rsidRPr="00731C53">
        <w:rPr>
          <w:rFonts w:ascii="Arial" w:hAnsi="Arial" w:cs="Arial"/>
          <w:sz w:val="23"/>
          <w:szCs w:val="23"/>
        </w:rPr>
        <w:t>.</w:t>
      </w:r>
    </w:p>
    <w:p w:rsidR="00A11864" w:rsidRPr="00731C53" w:rsidRDefault="00A11864" w:rsidP="00377B59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:rsidR="00A11864" w:rsidRPr="00731C53" w:rsidRDefault="00A11864" w:rsidP="00731C53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Statutory Authority RCW 90.44.400, WAC 173-100</w:t>
      </w:r>
      <w:r w:rsidR="00731C53">
        <w:rPr>
          <w:rFonts w:ascii="Arial" w:hAnsi="Arial" w:cs="Arial"/>
          <w:sz w:val="23"/>
          <w:szCs w:val="23"/>
        </w:rPr>
        <w:t>.</w:t>
      </w:r>
    </w:p>
    <w:p w:rsidR="003E70E1" w:rsidRDefault="0089023D" w:rsidP="00377B59">
      <w:pPr>
        <w:pStyle w:val="Heading1"/>
        <w:spacing w:after="120"/>
      </w:pPr>
      <w:r>
        <w:t>What is the purpose/focus of the</w:t>
      </w:r>
      <w:r w:rsidR="00957DA4">
        <w:t xml:space="preserve"> Lower</w:t>
      </w:r>
      <w:r>
        <w:t xml:space="preserve"> Yakima</w:t>
      </w:r>
      <w:r w:rsidR="00957DA4">
        <w:t xml:space="preserve"> Valley GWMA (LYV-GWMA)?</w:t>
      </w:r>
      <w:r>
        <w:t xml:space="preserve"> </w:t>
      </w:r>
    </w:p>
    <w:p w:rsidR="00171263" w:rsidRPr="00731C53" w:rsidRDefault="00957DA4" w:rsidP="00731C53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The LYV-</w:t>
      </w:r>
      <w:r w:rsidR="003E70E1" w:rsidRPr="00731C53">
        <w:rPr>
          <w:rFonts w:ascii="Arial" w:hAnsi="Arial" w:cs="Arial"/>
          <w:sz w:val="23"/>
          <w:szCs w:val="23"/>
        </w:rPr>
        <w:t>GWMA</w:t>
      </w:r>
      <w:r w:rsidR="00B02D7F" w:rsidRPr="00731C53">
        <w:rPr>
          <w:rFonts w:ascii="Arial" w:hAnsi="Arial" w:cs="Arial"/>
          <w:sz w:val="23"/>
          <w:szCs w:val="23"/>
        </w:rPr>
        <w:t xml:space="preserve"> </w:t>
      </w:r>
      <w:proofErr w:type="gramStart"/>
      <w:r w:rsidR="00B02D7F" w:rsidRPr="00731C53">
        <w:rPr>
          <w:rFonts w:ascii="Arial" w:hAnsi="Arial" w:cs="Arial"/>
          <w:sz w:val="23"/>
          <w:szCs w:val="23"/>
        </w:rPr>
        <w:t>was established</w:t>
      </w:r>
      <w:proofErr w:type="gramEnd"/>
      <w:r w:rsidR="00B02D7F" w:rsidRPr="00731C53">
        <w:rPr>
          <w:rFonts w:ascii="Arial" w:hAnsi="Arial" w:cs="Arial"/>
          <w:sz w:val="23"/>
          <w:szCs w:val="23"/>
        </w:rPr>
        <w:t xml:space="preserve"> to address nitrate levels in groundwater </w:t>
      </w:r>
      <w:r w:rsidR="00441E89" w:rsidRPr="00731C53">
        <w:rPr>
          <w:rFonts w:ascii="Arial" w:hAnsi="Arial" w:cs="Arial"/>
          <w:sz w:val="23"/>
          <w:szCs w:val="23"/>
        </w:rPr>
        <w:t>that exceed</w:t>
      </w:r>
      <w:r w:rsidR="00B02D7F" w:rsidRPr="00731C53">
        <w:rPr>
          <w:rFonts w:ascii="Arial" w:hAnsi="Arial" w:cs="Arial"/>
          <w:sz w:val="23"/>
          <w:szCs w:val="23"/>
        </w:rPr>
        <w:t xml:space="preserve"> </w:t>
      </w:r>
      <w:r w:rsidR="0093471A" w:rsidRPr="00731C53">
        <w:rPr>
          <w:rFonts w:ascii="Arial" w:hAnsi="Arial" w:cs="Arial"/>
          <w:sz w:val="23"/>
          <w:szCs w:val="23"/>
        </w:rPr>
        <w:t>the Environmental Protection Agency (</w:t>
      </w:r>
      <w:r w:rsidR="00A5583C" w:rsidRPr="00731C53">
        <w:rPr>
          <w:rFonts w:ascii="Arial" w:hAnsi="Arial" w:cs="Arial"/>
          <w:sz w:val="23"/>
          <w:szCs w:val="23"/>
        </w:rPr>
        <w:t>EPA</w:t>
      </w:r>
      <w:r w:rsidR="0093471A" w:rsidRPr="00731C53">
        <w:rPr>
          <w:rFonts w:ascii="Arial" w:hAnsi="Arial" w:cs="Arial"/>
          <w:sz w:val="23"/>
          <w:szCs w:val="23"/>
        </w:rPr>
        <w:t>)</w:t>
      </w:r>
      <w:r w:rsidR="00A5583C" w:rsidRPr="00731C53">
        <w:rPr>
          <w:rFonts w:ascii="Arial" w:hAnsi="Arial" w:cs="Arial"/>
          <w:sz w:val="23"/>
          <w:szCs w:val="23"/>
        </w:rPr>
        <w:t xml:space="preserve"> safe</w:t>
      </w:r>
      <w:r w:rsidRPr="00731C53">
        <w:rPr>
          <w:rFonts w:ascii="Arial" w:hAnsi="Arial" w:cs="Arial"/>
          <w:sz w:val="23"/>
          <w:szCs w:val="23"/>
        </w:rPr>
        <w:t xml:space="preserve"> drinking water guidance</w:t>
      </w:r>
      <w:r w:rsidR="008E718E" w:rsidRPr="00731C53">
        <w:rPr>
          <w:rFonts w:ascii="Arial" w:hAnsi="Arial" w:cs="Arial"/>
          <w:sz w:val="23"/>
          <w:szCs w:val="23"/>
        </w:rPr>
        <w:t xml:space="preserve"> of 10mg/L</w:t>
      </w:r>
      <w:r w:rsidR="00BE0FCD" w:rsidRPr="00731C53">
        <w:rPr>
          <w:rFonts w:ascii="Arial" w:hAnsi="Arial" w:cs="Arial"/>
          <w:sz w:val="23"/>
          <w:szCs w:val="23"/>
        </w:rPr>
        <w:t>.  Studies conducted during the planning process indicate 12-20% of individual domestic we</w:t>
      </w:r>
      <w:r w:rsidR="004C0C46" w:rsidRPr="00731C53">
        <w:rPr>
          <w:rFonts w:ascii="Arial" w:hAnsi="Arial" w:cs="Arial"/>
          <w:sz w:val="23"/>
          <w:szCs w:val="23"/>
        </w:rPr>
        <w:t>lls within the GWMA boundary</w:t>
      </w:r>
      <w:r w:rsidR="00BE0FCD" w:rsidRPr="00731C53">
        <w:rPr>
          <w:rFonts w:ascii="Arial" w:hAnsi="Arial" w:cs="Arial"/>
          <w:sz w:val="23"/>
          <w:szCs w:val="23"/>
        </w:rPr>
        <w:t xml:space="preserve"> have elevated nitrate levels.</w:t>
      </w:r>
    </w:p>
    <w:p w:rsidR="00171263" w:rsidRDefault="00864313" w:rsidP="00377B59">
      <w:pPr>
        <w:pStyle w:val="Heading1"/>
        <w:spacing w:after="120"/>
        <w:rPr>
          <w:color w:val="1F497D"/>
        </w:rPr>
      </w:pPr>
      <w:r>
        <w:rPr>
          <w:color w:val="1F497D"/>
        </w:rPr>
        <w:t>Who le</w:t>
      </w:r>
      <w:r w:rsidR="00171263">
        <w:rPr>
          <w:color w:val="1F497D"/>
        </w:rPr>
        <w:t>d the planning and development process?</w:t>
      </w:r>
    </w:p>
    <w:p w:rsidR="00171263" w:rsidRPr="00731C53" w:rsidRDefault="00171263" w:rsidP="00377B59">
      <w:pPr>
        <w:pStyle w:val="ListParagraph"/>
        <w:numPr>
          <w:ilvl w:val="0"/>
          <w:numId w:val="7"/>
        </w:numPr>
        <w:rPr>
          <w:rFonts w:ascii="Arial" w:hAnsi="Arial" w:cs="Arial"/>
          <w:color w:val="1F497D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Yakima County </w:t>
      </w:r>
      <w:r w:rsidR="008A6039" w:rsidRPr="00731C53">
        <w:rPr>
          <w:rFonts w:ascii="Arial" w:hAnsi="Arial" w:cs="Arial"/>
          <w:sz w:val="23"/>
          <w:szCs w:val="23"/>
        </w:rPr>
        <w:t>is the Lead Agency</w:t>
      </w:r>
      <w:r w:rsidRPr="00731C53">
        <w:rPr>
          <w:rFonts w:ascii="Arial" w:hAnsi="Arial" w:cs="Arial"/>
          <w:sz w:val="23"/>
          <w:szCs w:val="23"/>
        </w:rPr>
        <w:t>, supported and guided by a Citizen-based 39 member GWMA Advisory Committee representing 21 diverse interests – state and federal agencies, Yakama Nation, agriculture, local government, health district, local citizens, and environmental groups</w:t>
      </w:r>
      <w:r w:rsidR="0016169A">
        <w:rPr>
          <w:rFonts w:ascii="Arial" w:hAnsi="Arial" w:cs="Arial"/>
          <w:sz w:val="23"/>
          <w:szCs w:val="23"/>
        </w:rPr>
        <w:t>.</w:t>
      </w:r>
    </w:p>
    <w:p w:rsidR="00171263" w:rsidRPr="00731C53" w:rsidRDefault="00171263" w:rsidP="00377B59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Seven Work Groups explored voluntary and regulatory solutions; Education &amp; Outreach, Livestock/</w:t>
      </w:r>
      <w:r w:rsidR="00F84F9C" w:rsidRPr="00731C53">
        <w:rPr>
          <w:rFonts w:ascii="Arial" w:hAnsi="Arial" w:cs="Arial"/>
          <w:sz w:val="23"/>
          <w:szCs w:val="23"/>
        </w:rPr>
        <w:t>Concentrated Animal Feeding Operation (</w:t>
      </w:r>
      <w:r w:rsidRPr="00731C53">
        <w:rPr>
          <w:rFonts w:ascii="Arial" w:hAnsi="Arial" w:cs="Arial"/>
          <w:sz w:val="23"/>
          <w:szCs w:val="23"/>
        </w:rPr>
        <w:t>CAFO</w:t>
      </w:r>
      <w:r w:rsidR="00F84F9C" w:rsidRPr="00731C53">
        <w:rPr>
          <w:rFonts w:ascii="Arial" w:hAnsi="Arial" w:cs="Arial"/>
          <w:sz w:val="23"/>
          <w:szCs w:val="23"/>
        </w:rPr>
        <w:t>)</w:t>
      </w:r>
      <w:r w:rsidRPr="00731C53">
        <w:rPr>
          <w:rFonts w:ascii="Arial" w:hAnsi="Arial" w:cs="Arial"/>
          <w:sz w:val="23"/>
          <w:szCs w:val="23"/>
        </w:rPr>
        <w:t xml:space="preserve">, Irrigated Agriculture, </w:t>
      </w:r>
      <w:r w:rsidR="00576280" w:rsidRPr="00731C53">
        <w:rPr>
          <w:rFonts w:ascii="Arial" w:hAnsi="Arial" w:cs="Arial"/>
          <w:sz w:val="23"/>
          <w:szCs w:val="23"/>
        </w:rPr>
        <w:t>Residential/Commercial/Industrial/Municipal (</w:t>
      </w:r>
      <w:r w:rsidRPr="00731C53">
        <w:rPr>
          <w:rFonts w:ascii="Arial" w:hAnsi="Arial" w:cs="Arial"/>
          <w:sz w:val="23"/>
          <w:szCs w:val="23"/>
        </w:rPr>
        <w:t>RCIM</w:t>
      </w:r>
      <w:r w:rsidR="00576280" w:rsidRPr="00731C53">
        <w:rPr>
          <w:rFonts w:ascii="Arial" w:hAnsi="Arial" w:cs="Arial"/>
          <w:sz w:val="23"/>
          <w:szCs w:val="23"/>
        </w:rPr>
        <w:t>)</w:t>
      </w:r>
      <w:r w:rsidRPr="00731C53">
        <w:rPr>
          <w:rFonts w:ascii="Arial" w:hAnsi="Arial" w:cs="Arial"/>
          <w:sz w:val="23"/>
          <w:szCs w:val="23"/>
        </w:rPr>
        <w:t>, Regulatory Framework, Data Collection, and Funding</w:t>
      </w:r>
      <w:r w:rsidR="0016169A">
        <w:rPr>
          <w:rFonts w:ascii="Arial" w:hAnsi="Arial" w:cs="Arial"/>
          <w:sz w:val="23"/>
          <w:szCs w:val="23"/>
        </w:rPr>
        <w:t>.</w:t>
      </w:r>
    </w:p>
    <w:p w:rsidR="00995271" w:rsidRPr="0044186A" w:rsidRDefault="00995271" w:rsidP="0044186A">
      <w:pPr>
        <w:rPr>
          <w:color w:val="1F497D"/>
        </w:rPr>
      </w:pPr>
    </w:p>
    <w:p w:rsidR="007B403D" w:rsidRDefault="007B403D" w:rsidP="00377B59">
      <w:pPr>
        <w:pStyle w:val="Heading1"/>
        <w:spacing w:after="120"/>
      </w:pPr>
      <w:r>
        <w:lastRenderedPageBreak/>
        <w:t xml:space="preserve">Why is it important, how long has it been going on and what is the remaining timeline? </w:t>
      </w:r>
    </w:p>
    <w:p w:rsidR="007B403D" w:rsidRPr="00731C53" w:rsidRDefault="007B403D" w:rsidP="0093471A">
      <w:pPr>
        <w:pStyle w:val="ListParagraph"/>
        <w:spacing w:after="240"/>
        <w:ind w:left="0"/>
        <w:rPr>
          <w:rFonts w:ascii="Arial" w:hAnsi="Arial" w:cs="Arial"/>
          <w:sz w:val="23"/>
          <w:szCs w:val="23"/>
        </w:rPr>
      </w:pPr>
      <w:bookmarkStart w:id="0" w:name="_GoBack"/>
      <w:r w:rsidRPr="00731C53">
        <w:rPr>
          <w:rFonts w:ascii="Arial" w:hAnsi="Arial" w:cs="Arial"/>
          <w:sz w:val="23"/>
          <w:szCs w:val="23"/>
        </w:rPr>
        <w:t>Elevated nitrates in groundwater can be fatal to sensitive populations such as infants, pregnant women, elderly, and individuals</w:t>
      </w:r>
      <w:r w:rsidR="0093471A" w:rsidRPr="00731C53">
        <w:rPr>
          <w:rFonts w:ascii="Arial" w:hAnsi="Arial" w:cs="Arial"/>
          <w:sz w:val="23"/>
          <w:szCs w:val="23"/>
        </w:rPr>
        <w:t xml:space="preserve"> with certain blood disorders.  </w:t>
      </w:r>
      <w:r w:rsidRPr="00731C53">
        <w:rPr>
          <w:rFonts w:ascii="Arial" w:hAnsi="Arial" w:cs="Arial"/>
          <w:sz w:val="23"/>
          <w:szCs w:val="23"/>
        </w:rPr>
        <w:t>The planning process officially began in June of 2012.</w:t>
      </w:r>
    </w:p>
    <w:p w:rsidR="007B403D" w:rsidRPr="00377B59" w:rsidRDefault="007B403D" w:rsidP="00377B59">
      <w:pPr>
        <w:pStyle w:val="ListParagraph"/>
        <w:spacing w:after="120"/>
        <w:ind w:left="0"/>
        <w:rPr>
          <w:rFonts w:ascii="Arial" w:hAnsi="Arial" w:cs="Arial"/>
          <w:sz w:val="24"/>
          <w:szCs w:val="24"/>
        </w:rPr>
      </w:pPr>
      <w:r w:rsidRPr="00377B59">
        <w:rPr>
          <w:rFonts w:ascii="Arial" w:hAnsi="Arial" w:cs="Arial"/>
          <w:sz w:val="24"/>
          <w:szCs w:val="24"/>
        </w:rPr>
        <w:t xml:space="preserve">Going forward: </w:t>
      </w:r>
    </w:p>
    <w:p w:rsidR="007B403D" w:rsidRPr="00731C53" w:rsidRDefault="007B403D" w:rsidP="00377B59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A non-programmatic </w:t>
      </w:r>
      <w:r w:rsidR="00F3781B" w:rsidRPr="00731C53">
        <w:rPr>
          <w:rFonts w:ascii="Arial" w:hAnsi="Arial" w:cs="Arial"/>
          <w:sz w:val="23"/>
          <w:szCs w:val="23"/>
        </w:rPr>
        <w:t>State Environmental Policy Act (</w:t>
      </w:r>
      <w:r w:rsidRPr="00731C53">
        <w:rPr>
          <w:rFonts w:ascii="Arial" w:hAnsi="Arial" w:cs="Arial"/>
          <w:sz w:val="23"/>
          <w:szCs w:val="23"/>
        </w:rPr>
        <w:t>SEPA</w:t>
      </w:r>
      <w:r w:rsidR="00F3781B" w:rsidRPr="00731C53">
        <w:rPr>
          <w:rFonts w:ascii="Arial" w:hAnsi="Arial" w:cs="Arial"/>
          <w:sz w:val="23"/>
          <w:szCs w:val="23"/>
        </w:rPr>
        <w:t>)</w:t>
      </w:r>
      <w:r w:rsidRPr="00731C53">
        <w:rPr>
          <w:rFonts w:ascii="Arial" w:hAnsi="Arial" w:cs="Arial"/>
          <w:sz w:val="23"/>
          <w:szCs w:val="23"/>
        </w:rPr>
        <w:t xml:space="preserve"> conducted by Yakima County, </w:t>
      </w:r>
    </w:p>
    <w:p w:rsidR="007B403D" w:rsidRPr="00731C53" w:rsidRDefault="007B403D" w:rsidP="00377B59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The final draft plan is out for public review and comment, </w:t>
      </w:r>
    </w:p>
    <w:p w:rsidR="007B403D" w:rsidRPr="00731C53" w:rsidRDefault="007B403D" w:rsidP="00377B59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Public Hearing </w:t>
      </w:r>
      <w:r w:rsidR="00E729D5">
        <w:rPr>
          <w:rFonts w:ascii="Arial" w:hAnsi="Arial" w:cs="Arial"/>
          <w:sz w:val="23"/>
          <w:szCs w:val="23"/>
        </w:rPr>
        <w:t>March 12,2019</w:t>
      </w:r>
      <w:r w:rsidR="006967ED">
        <w:rPr>
          <w:rFonts w:ascii="Arial" w:hAnsi="Arial" w:cs="Arial"/>
          <w:sz w:val="23"/>
          <w:szCs w:val="23"/>
        </w:rPr>
        <w:t xml:space="preserve">, </w:t>
      </w:r>
      <w:r w:rsidR="00F3781B" w:rsidRPr="00731C53">
        <w:rPr>
          <w:rFonts w:ascii="Arial" w:hAnsi="Arial" w:cs="Arial"/>
          <w:sz w:val="23"/>
          <w:szCs w:val="23"/>
        </w:rPr>
        <w:t xml:space="preserve">held at the </w:t>
      </w:r>
      <w:r w:rsidRPr="00731C53">
        <w:rPr>
          <w:rFonts w:ascii="Arial" w:hAnsi="Arial" w:cs="Arial"/>
          <w:sz w:val="23"/>
          <w:szCs w:val="23"/>
        </w:rPr>
        <w:t>Sunnyside Community Center</w:t>
      </w:r>
      <w:r w:rsidR="00662352" w:rsidRPr="006967ED">
        <w:rPr>
          <w:rFonts w:ascii="Arial" w:hAnsi="Arial" w:cs="Arial"/>
          <w:sz w:val="23"/>
          <w:szCs w:val="23"/>
        </w:rPr>
        <w:t>,</w:t>
      </w:r>
      <w:r w:rsidRPr="006967ED">
        <w:rPr>
          <w:rFonts w:ascii="Arial" w:hAnsi="Arial" w:cs="Arial"/>
          <w:sz w:val="23"/>
          <w:szCs w:val="23"/>
        </w:rPr>
        <w:t xml:space="preserve"> </w:t>
      </w:r>
      <w:r w:rsidR="006967ED" w:rsidRPr="006967ED">
        <w:rPr>
          <w:rFonts w:ascii="Arial" w:hAnsi="Arial" w:cs="Arial"/>
          <w:sz w:val="23"/>
          <w:szCs w:val="23"/>
        </w:rPr>
        <w:t>1521 South 1</w:t>
      </w:r>
      <w:r w:rsidR="006967ED" w:rsidRPr="006967ED">
        <w:rPr>
          <w:rFonts w:ascii="Arial" w:hAnsi="Arial" w:cs="Arial"/>
          <w:sz w:val="23"/>
          <w:szCs w:val="23"/>
          <w:vertAlign w:val="superscript"/>
        </w:rPr>
        <w:t>st</w:t>
      </w:r>
      <w:r w:rsidR="006967ED" w:rsidRPr="006967ED">
        <w:rPr>
          <w:rFonts w:ascii="Arial" w:hAnsi="Arial" w:cs="Arial"/>
          <w:sz w:val="23"/>
          <w:szCs w:val="23"/>
        </w:rPr>
        <w:t xml:space="preserve"> Street, Sunnyside, WA 98944</w:t>
      </w:r>
      <w:r w:rsidR="00662352" w:rsidRPr="006967ED">
        <w:rPr>
          <w:rFonts w:ascii="Arial" w:hAnsi="Arial" w:cs="Arial"/>
          <w:sz w:val="23"/>
          <w:szCs w:val="23"/>
        </w:rPr>
        <w:t>,</w:t>
      </w:r>
      <w:r w:rsidR="00662352" w:rsidRPr="00731C53">
        <w:rPr>
          <w:rFonts w:ascii="Arial" w:hAnsi="Arial" w:cs="Arial"/>
          <w:sz w:val="23"/>
          <w:szCs w:val="23"/>
        </w:rPr>
        <w:t xml:space="preserve"> </w:t>
      </w:r>
      <w:r w:rsidR="00E729D5">
        <w:rPr>
          <w:rFonts w:ascii="Arial" w:hAnsi="Arial" w:cs="Arial"/>
          <w:sz w:val="23"/>
          <w:szCs w:val="23"/>
        </w:rPr>
        <w:t>5:30 PM</w:t>
      </w:r>
    </w:p>
    <w:p w:rsidR="007B403D" w:rsidRPr="00731C53" w:rsidRDefault="007B403D" w:rsidP="00377B59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Ecology and affected local government will review comments and create findings, </w:t>
      </w:r>
    </w:p>
    <w:p w:rsidR="007B403D" w:rsidRPr="00731C53" w:rsidRDefault="007B403D" w:rsidP="00377B59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Ecology and affected local governments will review the Program for concurrence, </w:t>
      </w:r>
    </w:p>
    <w:p w:rsidR="007B403D" w:rsidRPr="00731C53" w:rsidRDefault="007B403D" w:rsidP="00377B59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Final approval by the LYV-GWMA Advisory Committee is anticipated upon concurrence</w:t>
      </w:r>
      <w:r w:rsidR="00F3781B" w:rsidRPr="00731C53">
        <w:rPr>
          <w:rFonts w:ascii="Arial" w:hAnsi="Arial" w:cs="Arial"/>
          <w:sz w:val="23"/>
          <w:szCs w:val="23"/>
        </w:rPr>
        <w:t>,</w:t>
      </w:r>
    </w:p>
    <w:p w:rsidR="007B403D" w:rsidRPr="00731C53" w:rsidRDefault="007B403D" w:rsidP="00377B59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Process anticipated to </w:t>
      </w:r>
      <w:proofErr w:type="gramStart"/>
      <w:r w:rsidRPr="00731C53">
        <w:rPr>
          <w:rFonts w:ascii="Arial" w:hAnsi="Arial" w:cs="Arial"/>
          <w:sz w:val="23"/>
          <w:szCs w:val="23"/>
        </w:rPr>
        <w:t>be finalized</w:t>
      </w:r>
      <w:proofErr w:type="gramEnd"/>
      <w:r w:rsidRPr="00731C53">
        <w:rPr>
          <w:rFonts w:ascii="Arial" w:hAnsi="Arial" w:cs="Arial"/>
          <w:sz w:val="23"/>
          <w:szCs w:val="23"/>
        </w:rPr>
        <w:t xml:space="preserve"> before June 30, 2019</w:t>
      </w:r>
      <w:r w:rsidR="00F3781B" w:rsidRPr="00731C53">
        <w:rPr>
          <w:rFonts w:ascii="Arial" w:hAnsi="Arial" w:cs="Arial"/>
          <w:sz w:val="23"/>
          <w:szCs w:val="23"/>
        </w:rPr>
        <w:t>.</w:t>
      </w:r>
      <w:r w:rsidRPr="00731C53">
        <w:rPr>
          <w:rFonts w:ascii="Arial" w:hAnsi="Arial" w:cs="Arial"/>
          <w:sz w:val="23"/>
          <w:szCs w:val="23"/>
        </w:rPr>
        <w:t xml:space="preserve"> </w:t>
      </w:r>
    </w:p>
    <w:bookmarkEnd w:id="0"/>
    <w:p w:rsidR="007B403D" w:rsidRDefault="007B403D" w:rsidP="007B403D">
      <w:pPr>
        <w:pStyle w:val="ListParagraph"/>
        <w:ind w:left="1080"/>
      </w:pPr>
    </w:p>
    <w:p w:rsidR="00864313" w:rsidRDefault="00A5583C" w:rsidP="00377B59">
      <w:pPr>
        <w:pStyle w:val="Heading1"/>
        <w:spacing w:after="120"/>
      </w:pPr>
      <w:r>
        <w:t>W</w:t>
      </w:r>
      <w:r w:rsidR="00B0325A">
        <w:t>hat are Ecology</w:t>
      </w:r>
      <w:r w:rsidR="0089023D">
        <w:t xml:space="preserve"> and other </w:t>
      </w:r>
      <w:r w:rsidR="00B0325A">
        <w:t>state agency</w:t>
      </w:r>
      <w:r w:rsidR="00C401A4">
        <w:t xml:space="preserve"> role</w:t>
      </w:r>
      <w:r w:rsidR="00B0325A">
        <w:t>s</w:t>
      </w:r>
      <w:r w:rsidR="00957DA4">
        <w:t xml:space="preserve"> in the GWMA?</w:t>
      </w:r>
      <w:r w:rsidR="0089023D">
        <w:t xml:space="preserve"> </w:t>
      </w:r>
    </w:p>
    <w:p w:rsidR="00864313" w:rsidRPr="00731C53" w:rsidRDefault="00864313" w:rsidP="00731C53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State Legislature: Provided funding for program development</w:t>
      </w:r>
      <w:r w:rsidR="00F3781B" w:rsidRPr="00731C53">
        <w:rPr>
          <w:rFonts w:ascii="Arial" w:hAnsi="Arial" w:cs="Arial"/>
          <w:sz w:val="23"/>
          <w:szCs w:val="23"/>
        </w:rPr>
        <w:t>.</w:t>
      </w:r>
      <w:r w:rsidRPr="00731C53">
        <w:rPr>
          <w:rFonts w:ascii="Arial" w:hAnsi="Arial" w:cs="Arial"/>
          <w:sz w:val="23"/>
          <w:szCs w:val="23"/>
        </w:rPr>
        <w:t xml:space="preserve"> </w:t>
      </w:r>
    </w:p>
    <w:p w:rsidR="00A5583C" w:rsidRPr="00731C53" w:rsidRDefault="0058075D" w:rsidP="00377B59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Ecology</w:t>
      </w:r>
      <w:r w:rsidR="00A5583C" w:rsidRPr="00731C53">
        <w:rPr>
          <w:rFonts w:ascii="Arial" w:hAnsi="Arial" w:cs="Arial"/>
          <w:sz w:val="23"/>
          <w:szCs w:val="23"/>
        </w:rPr>
        <w:t>:</w:t>
      </w:r>
      <w:r w:rsidRPr="00731C53">
        <w:rPr>
          <w:rFonts w:ascii="Arial" w:hAnsi="Arial" w:cs="Arial"/>
          <w:sz w:val="23"/>
          <w:szCs w:val="23"/>
        </w:rPr>
        <w:t xml:space="preserve"> </w:t>
      </w:r>
    </w:p>
    <w:p w:rsidR="00A5583C" w:rsidRPr="00731C53" w:rsidRDefault="00A5583C" w:rsidP="00A5583C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Participates and provides leadership as an Advisory Committee member</w:t>
      </w:r>
      <w:r w:rsidR="00F3781B" w:rsidRPr="00731C53">
        <w:rPr>
          <w:rFonts w:ascii="Arial" w:hAnsi="Arial" w:cs="Arial"/>
          <w:sz w:val="23"/>
          <w:szCs w:val="23"/>
        </w:rPr>
        <w:t>.</w:t>
      </w:r>
    </w:p>
    <w:p w:rsidR="003569B4" w:rsidRPr="00731C53" w:rsidRDefault="003569B4" w:rsidP="003569B4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Serve</w:t>
      </w:r>
      <w:r w:rsidR="00F3781B" w:rsidRPr="00731C53">
        <w:rPr>
          <w:rFonts w:ascii="Arial" w:hAnsi="Arial" w:cs="Arial"/>
          <w:sz w:val="23"/>
          <w:szCs w:val="23"/>
        </w:rPr>
        <w:t>s</w:t>
      </w:r>
      <w:r w:rsidRPr="00731C53">
        <w:rPr>
          <w:rFonts w:ascii="Arial" w:hAnsi="Arial" w:cs="Arial"/>
          <w:sz w:val="23"/>
          <w:szCs w:val="23"/>
        </w:rPr>
        <w:t xml:space="preserve"> as </w:t>
      </w:r>
      <w:r w:rsidR="00F3781B" w:rsidRPr="00731C53">
        <w:rPr>
          <w:rFonts w:ascii="Arial" w:hAnsi="Arial" w:cs="Arial"/>
          <w:sz w:val="23"/>
          <w:szCs w:val="23"/>
        </w:rPr>
        <w:t xml:space="preserve">a </w:t>
      </w:r>
      <w:r w:rsidRPr="00731C53">
        <w:rPr>
          <w:rFonts w:ascii="Arial" w:hAnsi="Arial" w:cs="Arial"/>
          <w:sz w:val="23"/>
          <w:szCs w:val="23"/>
        </w:rPr>
        <w:t>subject matter expert in areas of expertise</w:t>
      </w:r>
      <w:r w:rsidR="00F3781B" w:rsidRPr="00731C53">
        <w:rPr>
          <w:rFonts w:ascii="Arial" w:hAnsi="Arial" w:cs="Arial"/>
          <w:sz w:val="23"/>
          <w:szCs w:val="23"/>
        </w:rPr>
        <w:t>.</w:t>
      </w:r>
    </w:p>
    <w:p w:rsidR="00A5583C" w:rsidRPr="00731C53" w:rsidRDefault="00A5583C" w:rsidP="00A5583C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A</w:t>
      </w:r>
      <w:r w:rsidR="0058075D" w:rsidRPr="00731C53">
        <w:rPr>
          <w:rFonts w:ascii="Arial" w:hAnsi="Arial" w:cs="Arial"/>
          <w:sz w:val="23"/>
          <w:szCs w:val="23"/>
        </w:rPr>
        <w:t xml:space="preserve">ppoints a lead agency and advisory committee </w:t>
      </w:r>
      <w:r w:rsidR="00A11864" w:rsidRPr="00731C53">
        <w:rPr>
          <w:rFonts w:ascii="Arial" w:hAnsi="Arial" w:cs="Arial"/>
          <w:sz w:val="23"/>
          <w:szCs w:val="23"/>
        </w:rPr>
        <w:t xml:space="preserve">members </w:t>
      </w:r>
      <w:r w:rsidR="0058075D" w:rsidRPr="00731C53">
        <w:rPr>
          <w:rFonts w:ascii="Arial" w:hAnsi="Arial" w:cs="Arial"/>
          <w:sz w:val="23"/>
          <w:szCs w:val="23"/>
        </w:rPr>
        <w:t>to dev</w:t>
      </w:r>
      <w:r w:rsidR="003569B4" w:rsidRPr="00731C53">
        <w:rPr>
          <w:rFonts w:ascii="Arial" w:hAnsi="Arial" w:cs="Arial"/>
          <w:sz w:val="23"/>
          <w:szCs w:val="23"/>
        </w:rPr>
        <w:t xml:space="preserve">elop the groundwater </w:t>
      </w:r>
      <w:r w:rsidR="0058075D" w:rsidRPr="00731C53">
        <w:rPr>
          <w:rFonts w:ascii="Arial" w:hAnsi="Arial" w:cs="Arial"/>
          <w:sz w:val="23"/>
          <w:szCs w:val="23"/>
        </w:rPr>
        <w:t>program</w:t>
      </w:r>
      <w:r w:rsidR="00F3781B" w:rsidRPr="00731C53">
        <w:rPr>
          <w:rFonts w:ascii="Arial" w:hAnsi="Arial" w:cs="Arial"/>
          <w:sz w:val="23"/>
          <w:szCs w:val="23"/>
        </w:rPr>
        <w:t>.</w:t>
      </w:r>
    </w:p>
    <w:p w:rsidR="00A5583C" w:rsidRPr="00731C53" w:rsidRDefault="00A5583C" w:rsidP="00A5583C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Conducts public comment and hearing process</w:t>
      </w:r>
      <w:r w:rsidR="00F3781B" w:rsidRPr="00731C53">
        <w:rPr>
          <w:rFonts w:ascii="Arial" w:hAnsi="Arial" w:cs="Arial"/>
          <w:sz w:val="23"/>
          <w:szCs w:val="23"/>
        </w:rPr>
        <w:t>.</w:t>
      </w:r>
      <w:r w:rsidR="0058075D" w:rsidRPr="00731C53">
        <w:rPr>
          <w:rFonts w:ascii="Arial" w:hAnsi="Arial" w:cs="Arial"/>
          <w:sz w:val="23"/>
          <w:szCs w:val="23"/>
        </w:rPr>
        <w:t xml:space="preserve"> </w:t>
      </w:r>
    </w:p>
    <w:p w:rsidR="00A5583C" w:rsidRPr="00731C53" w:rsidRDefault="00A5583C" w:rsidP="00A5583C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>Reviews Groundwater Management Program for consistency with intent of the legislation</w:t>
      </w:r>
      <w:r w:rsidR="00F3781B"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>.</w:t>
      </w:r>
    </w:p>
    <w:p w:rsidR="00E6707D" w:rsidRPr="00731C53" w:rsidRDefault="00EE0C36" w:rsidP="00A5583C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>Implementation of recommendations upon Program approval</w:t>
      </w:r>
      <w:r w:rsidR="00F3781B"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>.</w:t>
      </w:r>
    </w:p>
    <w:p w:rsidR="00F3781B" w:rsidRPr="00731C53" w:rsidRDefault="00F3781B" w:rsidP="00F3781B">
      <w:pPr>
        <w:pStyle w:val="ListParagraph"/>
        <w:ind w:left="1080"/>
        <w:rPr>
          <w:rFonts w:ascii="Arial" w:hAnsi="Arial" w:cs="Arial"/>
          <w:sz w:val="23"/>
          <w:szCs w:val="23"/>
        </w:rPr>
      </w:pPr>
    </w:p>
    <w:p w:rsidR="00B02D7F" w:rsidRPr="00731C53" w:rsidRDefault="003569B4" w:rsidP="00F3781B">
      <w:pPr>
        <w:pStyle w:val="ListParagraph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Department of Health </w:t>
      </w:r>
      <w:r w:rsidR="00BE0FCD" w:rsidRPr="00731C53">
        <w:rPr>
          <w:rFonts w:ascii="Arial" w:hAnsi="Arial" w:cs="Arial"/>
          <w:sz w:val="23"/>
          <w:szCs w:val="23"/>
        </w:rPr>
        <w:t xml:space="preserve">(DOH) </w:t>
      </w:r>
      <w:r w:rsidRPr="00731C53">
        <w:rPr>
          <w:rFonts w:ascii="Arial" w:hAnsi="Arial" w:cs="Arial"/>
          <w:sz w:val="23"/>
          <w:szCs w:val="23"/>
        </w:rPr>
        <w:t>and</w:t>
      </w:r>
      <w:r w:rsidR="000F416D" w:rsidRPr="00731C53">
        <w:rPr>
          <w:rFonts w:ascii="Arial" w:hAnsi="Arial" w:cs="Arial"/>
          <w:sz w:val="23"/>
          <w:szCs w:val="23"/>
        </w:rPr>
        <w:t xml:space="preserve"> Department of</w:t>
      </w:r>
      <w:r w:rsidRPr="00731C53">
        <w:rPr>
          <w:rFonts w:ascii="Arial" w:hAnsi="Arial" w:cs="Arial"/>
          <w:sz w:val="23"/>
          <w:szCs w:val="23"/>
        </w:rPr>
        <w:t xml:space="preserve"> Agriculture</w:t>
      </w:r>
      <w:r w:rsidR="00BE0FCD" w:rsidRPr="00731C53">
        <w:rPr>
          <w:rFonts w:ascii="Arial" w:hAnsi="Arial" w:cs="Arial"/>
          <w:sz w:val="23"/>
          <w:szCs w:val="23"/>
        </w:rPr>
        <w:t xml:space="preserve"> (WSDA)</w:t>
      </w:r>
      <w:r w:rsidRPr="00731C53">
        <w:rPr>
          <w:rFonts w:ascii="Arial" w:hAnsi="Arial" w:cs="Arial"/>
          <w:sz w:val="23"/>
          <w:szCs w:val="23"/>
        </w:rPr>
        <w:t>:</w:t>
      </w:r>
    </w:p>
    <w:p w:rsidR="003569B4" w:rsidRPr="00731C53" w:rsidRDefault="003569B4" w:rsidP="003569B4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Participates and provides leadership as an Advisory Committee member</w:t>
      </w:r>
      <w:r w:rsidR="00F3781B" w:rsidRPr="00731C53">
        <w:rPr>
          <w:rFonts w:ascii="Arial" w:hAnsi="Arial" w:cs="Arial"/>
          <w:sz w:val="23"/>
          <w:szCs w:val="23"/>
        </w:rPr>
        <w:t>.</w:t>
      </w:r>
    </w:p>
    <w:p w:rsidR="003569B4" w:rsidRPr="00731C53" w:rsidRDefault="003569B4" w:rsidP="003569B4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Serve as subject matter expert in their areas of expertise</w:t>
      </w:r>
      <w:r w:rsidR="00F3781B" w:rsidRPr="00731C53">
        <w:rPr>
          <w:rFonts w:ascii="Arial" w:hAnsi="Arial" w:cs="Arial"/>
          <w:sz w:val="23"/>
          <w:szCs w:val="23"/>
        </w:rPr>
        <w:t>.</w:t>
      </w:r>
    </w:p>
    <w:p w:rsidR="00EE0C36" w:rsidRPr="00731C53" w:rsidRDefault="00864313" w:rsidP="00EE0C36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>Implements</w:t>
      </w:r>
      <w:r w:rsidR="00EE0C36"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 xml:space="preserve"> recommendations upon Program approval</w:t>
      </w:r>
      <w:r w:rsidR="00F3781B"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>.</w:t>
      </w:r>
    </w:p>
    <w:p w:rsidR="007B403D" w:rsidRPr="00731C53" w:rsidRDefault="000F416D" w:rsidP="00377B59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>WSDA develop</w:t>
      </w:r>
      <w:r w:rsidR="00864313"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>ed</w:t>
      </w:r>
      <w:r w:rsidR="00BE0FCD"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 xml:space="preserve"> a Nitrogen Availability Assessment</w:t>
      </w:r>
      <w:r w:rsidR="00F3781B" w:rsidRPr="00731C53">
        <w:rPr>
          <w:rFonts w:ascii="Arial" w:eastAsiaTheme="minorEastAsia" w:hAnsi="Arial" w:cs="Arial"/>
          <w:color w:val="000000" w:themeColor="text1"/>
          <w:kern w:val="24"/>
          <w:sz w:val="23"/>
          <w:szCs w:val="23"/>
        </w:rPr>
        <w:t>.</w:t>
      </w:r>
    </w:p>
    <w:p w:rsidR="0089023D" w:rsidRPr="00731C53" w:rsidRDefault="00C71B8F" w:rsidP="00731C53">
      <w:pPr>
        <w:pStyle w:val="Heading1"/>
        <w:spacing w:after="120"/>
      </w:pPr>
      <w:r w:rsidRPr="00731C53">
        <w:t>W</w:t>
      </w:r>
      <w:r w:rsidR="0089023D" w:rsidRPr="00731C53">
        <w:t>ha</w:t>
      </w:r>
      <w:r w:rsidR="009C2D25" w:rsidRPr="00731C53">
        <w:t>t related data is</w:t>
      </w:r>
      <w:r w:rsidR="0089023D" w:rsidRPr="00731C53">
        <w:t xml:space="preserve"> collected?</w:t>
      </w:r>
    </w:p>
    <w:p w:rsidR="00DC3748" w:rsidRPr="00731C53" w:rsidRDefault="00DC3748" w:rsidP="00377B59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Concern over nitrates in groundwater within the area began as early as 1988, over several decades </w:t>
      </w:r>
      <w:r w:rsidR="00BD5260" w:rsidRPr="00731C53">
        <w:rPr>
          <w:rFonts w:ascii="Arial" w:hAnsi="Arial" w:cs="Arial"/>
          <w:sz w:val="23"/>
          <w:szCs w:val="23"/>
        </w:rPr>
        <w:t>EPA</w:t>
      </w:r>
      <w:r w:rsidRPr="00731C53">
        <w:rPr>
          <w:rFonts w:ascii="Arial" w:hAnsi="Arial" w:cs="Arial"/>
          <w:sz w:val="23"/>
          <w:szCs w:val="23"/>
        </w:rPr>
        <w:t>, Ecology, US</w:t>
      </w:r>
      <w:r w:rsidR="00E16D8C" w:rsidRPr="00731C53">
        <w:rPr>
          <w:rFonts w:ascii="Arial" w:hAnsi="Arial" w:cs="Arial"/>
          <w:sz w:val="23"/>
          <w:szCs w:val="23"/>
        </w:rPr>
        <w:t xml:space="preserve"> </w:t>
      </w:r>
      <w:r w:rsidRPr="00731C53">
        <w:rPr>
          <w:rFonts w:ascii="Arial" w:hAnsi="Arial" w:cs="Arial"/>
          <w:sz w:val="23"/>
          <w:szCs w:val="23"/>
        </w:rPr>
        <w:t>G</w:t>
      </w:r>
      <w:r w:rsidR="00E16D8C" w:rsidRPr="00731C53">
        <w:rPr>
          <w:rFonts w:ascii="Arial" w:hAnsi="Arial" w:cs="Arial"/>
          <w:sz w:val="23"/>
          <w:szCs w:val="23"/>
        </w:rPr>
        <w:t xml:space="preserve">eological </w:t>
      </w:r>
      <w:r w:rsidRPr="00731C53">
        <w:rPr>
          <w:rFonts w:ascii="Arial" w:hAnsi="Arial" w:cs="Arial"/>
          <w:sz w:val="23"/>
          <w:szCs w:val="23"/>
        </w:rPr>
        <w:t>S</w:t>
      </w:r>
      <w:r w:rsidR="00E16D8C" w:rsidRPr="00731C53">
        <w:rPr>
          <w:rFonts w:ascii="Arial" w:hAnsi="Arial" w:cs="Arial"/>
          <w:sz w:val="23"/>
          <w:szCs w:val="23"/>
        </w:rPr>
        <w:t>urvey (USGS)</w:t>
      </w:r>
      <w:r w:rsidRPr="00731C53">
        <w:rPr>
          <w:rFonts w:ascii="Arial" w:hAnsi="Arial" w:cs="Arial"/>
          <w:sz w:val="23"/>
          <w:szCs w:val="23"/>
        </w:rPr>
        <w:t xml:space="preserve">, DOH and others conducted </w:t>
      </w:r>
      <w:r w:rsidR="00A11864" w:rsidRPr="00731C53">
        <w:rPr>
          <w:rFonts w:ascii="Arial" w:hAnsi="Arial" w:cs="Arial"/>
          <w:sz w:val="23"/>
          <w:szCs w:val="23"/>
        </w:rPr>
        <w:t xml:space="preserve">water quality </w:t>
      </w:r>
      <w:r w:rsidRPr="00731C53">
        <w:rPr>
          <w:rFonts w:ascii="Arial" w:hAnsi="Arial" w:cs="Arial"/>
          <w:sz w:val="23"/>
          <w:szCs w:val="23"/>
        </w:rPr>
        <w:t xml:space="preserve">studies.  </w:t>
      </w:r>
    </w:p>
    <w:p w:rsidR="00DC3748" w:rsidRPr="00731C53" w:rsidRDefault="00DC3748" w:rsidP="00377B59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>An extensive literature review, conducted by the Data Analysis Work Group and the Advisory Committee members resulted in relevant data incorporation into the final planning document.</w:t>
      </w:r>
    </w:p>
    <w:p w:rsidR="00DC3748" w:rsidRPr="00731C53" w:rsidRDefault="00DC3748" w:rsidP="00377B59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731C53">
        <w:rPr>
          <w:rFonts w:ascii="Arial" w:hAnsi="Arial" w:cs="Arial"/>
          <w:sz w:val="23"/>
          <w:szCs w:val="23"/>
        </w:rPr>
        <w:t xml:space="preserve">Water quality data collected by USGS from 159 existing domestic wells in 2017 </w:t>
      </w:r>
      <w:r w:rsidR="00212B87" w:rsidRPr="00731C53">
        <w:rPr>
          <w:rFonts w:ascii="Arial" w:hAnsi="Arial" w:cs="Arial"/>
          <w:sz w:val="23"/>
          <w:szCs w:val="23"/>
        </w:rPr>
        <w:t xml:space="preserve">established baseline conditions.  </w:t>
      </w:r>
      <w:r w:rsidRPr="00731C53">
        <w:rPr>
          <w:rFonts w:ascii="Arial" w:hAnsi="Arial" w:cs="Arial"/>
          <w:sz w:val="23"/>
          <w:szCs w:val="23"/>
        </w:rPr>
        <w:t>Approximately 30 a</w:t>
      </w:r>
      <w:r w:rsidR="001A0C2D" w:rsidRPr="00731C53">
        <w:rPr>
          <w:rFonts w:ascii="Arial" w:hAnsi="Arial" w:cs="Arial"/>
          <w:sz w:val="23"/>
          <w:szCs w:val="23"/>
        </w:rPr>
        <w:t xml:space="preserve">dditional purpose built wells </w:t>
      </w:r>
      <w:proofErr w:type="gramStart"/>
      <w:r w:rsidR="001A0C2D" w:rsidRPr="00731C53">
        <w:rPr>
          <w:rFonts w:ascii="Arial" w:hAnsi="Arial" w:cs="Arial"/>
          <w:sz w:val="23"/>
          <w:szCs w:val="23"/>
        </w:rPr>
        <w:t>will</w:t>
      </w:r>
      <w:r w:rsidRPr="00731C53">
        <w:rPr>
          <w:rFonts w:ascii="Arial" w:hAnsi="Arial" w:cs="Arial"/>
          <w:sz w:val="23"/>
          <w:szCs w:val="23"/>
        </w:rPr>
        <w:t xml:space="preserve"> be </w:t>
      </w:r>
      <w:r w:rsidR="001C284C" w:rsidRPr="00731C53">
        <w:rPr>
          <w:rFonts w:ascii="Arial" w:hAnsi="Arial" w:cs="Arial"/>
          <w:sz w:val="23"/>
          <w:szCs w:val="23"/>
        </w:rPr>
        <w:t>ad</w:t>
      </w:r>
      <w:r w:rsidR="0044186A" w:rsidRPr="00731C53">
        <w:rPr>
          <w:rFonts w:ascii="Arial" w:hAnsi="Arial" w:cs="Arial"/>
          <w:sz w:val="23"/>
          <w:szCs w:val="23"/>
        </w:rPr>
        <w:t>ded</w:t>
      </w:r>
      <w:proofErr w:type="gramEnd"/>
      <w:r w:rsidR="0044186A" w:rsidRPr="00731C53">
        <w:rPr>
          <w:rFonts w:ascii="Arial" w:hAnsi="Arial" w:cs="Arial"/>
          <w:sz w:val="23"/>
          <w:szCs w:val="23"/>
        </w:rPr>
        <w:t xml:space="preserve"> to the sampling network</w:t>
      </w:r>
      <w:r w:rsidRPr="00731C53">
        <w:rPr>
          <w:rFonts w:ascii="Arial" w:hAnsi="Arial" w:cs="Arial"/>
          <w:sz w:val="23"/>
          <w:szCs w:val="23"/>
        </w:rPr>
        <w:t>.</w:t>
      </w:r>
    </w:p>
    <w:p w:rsidR="00A42A19" w:rsidRPr="00DC3748" w:rsidRDefault="000F416D" w:rsidP="00731C53">
      <w:pPr>
        <w:pStyle w:val="ListParagraph"/>
        <w:numPr>
          <w:ilvl w:val="0"/>
          <w:numId w:val="11"/>
        </w:numPr>
        <w:rPr>
          <w:color w:val="1F497D"/>
        </w:rPr>
      </w:pPr>
      <w:r w:rsidRPr="00731C53">
        <w:rPr>
          <w:rFonts w:ascii="Arial" w:hAnsi="Arial" w:cs="Arial"/>
          <w:sz w:val="23"/>
          <w:szCs w:val="23"/>
        </w:rPr>
        <w:t xml:space="preserve">Extensive Education and public outreach efforts have been conducted throughout the </w:t>
      </w:r>
      <w:r w:rsidR="00E16D8C" w:rsidRPr="00731C53">
        <w:rPr>
          <w:rFonts w:ascii="Arial" w:hAnsi="Arial" w:cs="Arial"/>
          <w:sz w:val="23"/>
          <w:szCs w:val="23"/>
        </w:rPr>
        <w:t>LYV-</w:t>
      </w:r>
      <w:r w:rsidRPr="00731C53">
        <w:rPr>
          <w:rFonts w:ascii="Arial" w:hAnsi="Arial" w:cs="Arial"/>
          <w:sz w:val="23"/>
          <w:szCs w:val="23"/>
        </w:rPr>
        <w:t>GWMA and surrounding communities</w:t>
      </w:r>
      <w:r w:rsidR="00212B87" w:rsidRPr="00731C53">
        <w:rPr>
          <w:rFonts w:ascii="Arial" w:hAnsi="Arial" w:cs="Arial"/>
          <w:sz w:val="23"/>
          <w:szCs w:val="23"/>
        </w:rPr>
        <w:t>.</w:t>
      </w:r>
      <w:r w:rsidR="00731C53" w:rsidRPr="00DC3748">
        <w:rPr>
          <w:color w:val="1F497D"/>
        </w:rPr>
        <w:t xml:space="preserve"> </w:t>
      </w:r>
    </w:p>
    <w:sectPr w:rsidR="00A42A19" w:rsidRPr="00DC3748" w:rsidSect="00731C53">
      <w:headerReference w:type="default" r:id="rId11"/>
      <w:footerReference w:type="default" r:id="rId12"/>
      <w:pgSz w:w="12240" w:h="15840"/>
      <w:pgMar w:top="720" w:right="1152" w:bottom="720" w:left="1152" w:header="720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70" w:rsidRDefault="00605C70" w:rsidP="00472E4F">
      <w:pPr>
        <w:spacing w:after="0" w:line="240" w:lineRule="auto"/>
      </w:pPr>
      <w:r>
        <w:separator/>
      </w:r>
    </w:p>
  </w:endnote>
  <w:endnote w:type="continuationSeparator" w:id="0">
    <w:p w:rsidR="00605C70" w:rsidRDefault="00605C70" w:rsidP="0047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4F" w:rsidRPr="00731C53" w:rsidRDefault="00377B59" w:rsidP="00377B59">
    <w:pPr>
      <w:pStyle w:val="Footer"/>
      <w:jc w:val="center"/>
      <w:rPr>
        <w:rFonts w:ascii="Arial" w:hAnsi="Arial" w:cs="Arial"/>
        <w:sz w:val="21"/>
        <w:szCs w:val="21"/>
      </w:rPr>
    </w:pPr>
    <w:r w:rsidRPr="00731C53">
      <w:rPr>
        <w:rFonts w:ascii="Arial" w:hAnsi="Arial" w:cs="Arial"/>
        <w:sz w:val="21"/>
        <w:szCs w:val="21"/>
      </w:rPr>
      <w:t xml:space="preserve">Page </w:t>
    </w:r>
    <w:r w:rsidRPr="00731C53">
      <w:rPr>
        <w:rFonts w:ascii="Arial" w:hAnsi="Arial" w:cs="Arial"/>
        <w:bCs/>
        <w:sz w:val="21"/>
        <w:szCs w:val="21"/>
      </w:rPr>
      <w:fldChar w:fldCharType="begin"/>
    </w:r>
    <w:r w:rsidRPr="00731C53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731C53">
      <w:rPr>
        <w:rFonts w:ascii="Arial" w:hAnsi="Arial" w:cs="Arial"/>
        <w:bCs/>
        <w:sz w:val="21"/>
        <w:szCs w:val="21"/>
      </w:rPr>
      <w:fldChar w:fldCharType="separate"/>
    </w:r>
    <w:r w:rsidR="00E729D5">
      <w:rPr>
        <w:rFonts w:ascii="Arial" w:hAnsi="Arial" w:cs="Arial"/>
        <w:bCs/>
        <w:noProof/>
        <w:sz w:val="21"/>
        <w:szCs w:val="21"/>
      </w:rPr>
      <w:t>2</w:t>
    </w:r>
    <w:r w:rsidRPr="00731C53">
      <w:rPr>
        <w:rFonts w:ascii="Arial" w:hAnsi="Arial" w:cs="Arial"/>
        <w:bCs/>
        <w:sz w:val="21"/>
        <w:szCs w:val="21"/>
      </w:rPr>
      <w:fldChar w:fldCharType="end"/>
    </w:r>
    <w:r w:rsidRPr="00731C53">
      <w:rPr>
        <w:rFonts w:ascii="Arial" w:hAnsi="Arial" w:cs="Arial"/>
        <w:sz w:val="21"/>
        <w:szCs w:val="21"/>
      </w:rPr>
      <w:t xml:space="preserve"> of </w:t>
    </w:r>
    <w:r w:rsidRPr="00731C53">
      <w:rPr>
        <w:rFonts w:ascii="Arial" w:hAnsi="Arial" w:cs="Arial"/>
        <w:bCs/>
        <w:sz w:val="21"/>
        <w:szCs w:val="21"/>
      </w:rPr>
      <w:fldChar w:fldCharType="begin"/>
    </w:r>
    <w:r w:rsidRPr="00731C53">
      <w:rPr>
        <w:rFonts w:ascii="Arial" w:hAnsi="Arial" w:cs="Arial"/>
        <w:bCs/>
        <w:sz w:val="21"/>
        <w:szCs w:val="21"/>
      </w:rPr>
      <w:instrText xml:space="preserve"> NUMPAGES  \* Arabic  \* MERGEFORMAT </w:instrText>
    </w:r>
    <w:r w:rsidRPr="00731C53">
      <w:rPr>
        <w:rFonts w:ascii="Arial" w:hAnsi="Arial" w:cs="Arial"/>
        <w:bCs/>
        <w:sz w:val="21"/>
        <w:szCs w:val="21"/>
      </w:rPr>
      <w:fldChar w:fldCharType="separate"/>
    </w:r>
    <w:r w:rsidR="00E729D5">
      <w:rPr>
        <w:rFonts w:ascii="Arial" w:hAnsi="Arial" w:cs="Arial"/>
        <w:bCs/>
        <w:noProof/>
        <w:sz w:val="21"/>
        <w:szCs w:val="21"/>
      </w:rPr>
      <w:t>2</w:t>
    </w:r>
    <w:r w:rsidRPr="00731C53">
      <w:rPr>
        <w:rFonts w:ascii="Arial" w:hAnsi="Arial" w:cs="Arial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70" w:rsidRDefault="00605C70" w:rsidP="00472E4F">
      <w:pPr>
        <w:spacing w:after="0" w:line="240" w:lineRule="auto"/>
      </w:pPr>
      <w:r>
        <w:separator/>
      </w:r>
    </w:p>
  </w:footnote>
  <w:footnote w:type="continuationSeparator" w:id="0">
    <w:p w:rsidR="00605C70" w:rsidRDefault="00605C70" w:rsidP="0047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4F" w:rsidRPr="00145A24" w:rsidRDefault="00472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ACA"/>
    <w:multiLevelType w:val="hybridMultilevel"/>
    <w:tmpl w:val="2488DABC"/>
    <w:lvl w:ilvl="0" w:tplc="F6D4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A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CE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6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89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E3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63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44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A0E46"/>
    <w:multiLevelType w:val="hybridMultilevel"/>
    <w:tmpl w:val="750E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4E64"/>
    <w:multiLevelType w:val="hybridMultilevel"/>
    <w:tmpl w:val="4380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B2E"/>
    <w:multiLevelType w:val="hybridMultilevel"/>
    <w:tmpl w:val="CB00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22BAC"/>
    <w:multiLevelType w:val="hybridMultilevel"/>
    <w:tmpl w:val="08FE61DA"/>
    <w:lvl w:ilvl="0" w:tplc="1DF4A0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BD1AF3"/>
    <w:multiLevelType w:val="hybridMultilevel"/>
    <w:tmpl w:val="3170E60C"/>
    <w:lvl w:ilvl="0" w:tplc="1DF4A0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D5F50"/>
    <w:multiLevelType w:val="hybridMultilevel"/>
    <w:tmpl w:val="85EAD544"/>
    <w:lvl w:ilvl="0" w:tplc="99B43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844BBC"/>
    <w:multiLevelType w:val="hybridMultilevel"/>
    <w:tmpl w:val="68EE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E47B0"/>
    <w:multiLevelType w:val="hybridMultilevel"/>
    <w:tmpl w:val="E2F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70046"/>
    <w:multiLevelType w:val="hybridMultilevel"/>
    <w:tmpl w:val="3328D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23AC1"/>
    <w:multiLevelType w:val="hybridMultilevel"/>
    <w:tmpl w:val="5BD8C0DA"/>
    <w:lvl w:ilvl="0" w:tplc="1586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9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A9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AB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4E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AE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E5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7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992C82"/>
    <w:multiLevelType w:val="hybridMultilevel"/>
    <w:tmpl w:val="88965C68"/>
    <w:lvl w:ilvl="0" w:tplc="59E4F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9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6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8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09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A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8C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AA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45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3D"/>
    <w:rsid w:val="000057C0"/>
    <w:rsid w:val="000F416D"/>
    <w:rsid w:val="00145A24"/>
    <w:rsid w:val="0016169A"/>
    <w:rsid w:val="00170D8C"/>
    <w:rsid w:val="00171263"/>
    <w:rsid w:val="001A0C2D"/>
    <w:rsid w:val="001C284C"/>
    <w:rsid w:val="00212B87"/>
    <w:rsid w:val="002745BF"/>
    <w:rsid w:val="002B6D41"/>
    <w:rsid w:val="003569B4"/>
    <w:rsid w:val="00364682"/>
    <w:rsid w:val="00377B59"/>
    <w:rsid w:val="003E70E1"/>
    <w:rsid w:val="0044186A"/>
    <w:rsid w:val="00441E89"/>
    <w:rsid w:val="00472E4F"/>
    <w:rsid w:val="004B7129"/>
    <w:rsid w:val="004C0C46"/>
    <w:rsid w:val="00576280"/>
    <w:rsid w:val="0058075D"/>
    <w:rsid w:val="005A38CC"/>
    <w:rsid w:val="00605C70"/>
    <w:rsid w:val="00662352"/>
    <w:rsid w:val="006967ED"/>
    <w:rsid w:val="006C52EC"/>
    <w:rsid w:val="00731C53"/>
    <w:rsid w:val="00740271"/>
    <w:rsid w:val="007B403D"/>
    <w:rsid w:val="00855966"/>
    <w:rsid w:val="00864313"/>
    <w:rsid w:val="008849B4"/>
    <w:rsid w:val="0089023D"/>
    <w:rsid w:val="008A6039"/>
    <w:rsid w:val="008E718E"/>
    <w:rsid w:val="0093471A"/>
    <w:rsid w:val="00957DA4"/>
    <w:rsid w:val="00995271"/>
    <w:rsid w:val="009C2D25"/>
    <w:rsid w:val="00A11864"/>
    <w:rsid w:val="00A42A19"/>
    <w:rsid w:val="00A5583C"/>
    <w:rsid w:val="00B02D7F"/>
    <w:rsid w:val="00B0325A"/>
    <w:rsid w:val="00BD5260"/>
    <w:rsid w:val="00BE0FCD"/>
    <w:rsid w:val="00C401A4"/>
    <w:rsid w:val="00C71B8F"/>
    <w:rsid w:val="00D5648A"/>
    <w:rsid w:val="00DC3748"/>
    <w:rsid w:val="00E16D8C"/>
    <w:rsid w:val="00E206A6"/>
    <w:rsid w:val="00E32F75"/>
    <w:rsid w:val="00E6707D"/>
    <w:rsid w:val="00E729D5"/>
    <w:rsid w:val="00ED572B"/>
    <w:rsid w:val="00EE0C36"/>
    <w:rsid w:val="00F3781B"/>
    <w:rsid w:val="00F81B4E"/>
    <w:rsid w:val="00F84F9C"/>
    <w:rsid w:val="00F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D65EC"/>
  <w15:chartTrackingRefBased/>
  <w15:docId w15:val="{0010943B-4D90-40F0-BCFB-3850D6C1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A53AC"/>
    <w:pPr>
      <w:spacing w:before="75" w:after="15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3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FA53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A53AC"/>
    <w:rPr>
      <w:color w:val="2B674D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4F"/>
  </w:style>
  <w:style w:type="paragraph" w:styleId="Footer">
    <w:name w:val="footer"/>
    <w:basedOn w:val="Normal"/>
    <w:link w:val="FooterChar"/>
    <w:uiPriority w:val="99"/>
    <w:unhideWhenUsed/>
    <w:rsid w:val="00472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4F"/>
  </w:style>
  <w:style w:type="character" w:customStyle="1" w:styleId="Heading1Char">
    <w:name w:val="Heading 1 Char"/>
    <w:basedOn w:val="DefaultParagraphFont"/>
    <w:link w:val="Heading1"/>
    <w:uiPriority w:val="9"/>
    <w:rsid w:val="00E67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7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67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67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0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4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9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90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904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287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327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70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7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1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0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1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93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26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44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2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6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7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8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8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ogy.wa.gov/About-us/Get-to-know-us/Our-Programs/Spanis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ology.wa.gov/accessi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logy.wa.gov/accessi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1F26-C78E-4855-9324-8CDCBF88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David (ECY)</dc:creator>
  <cp:keywords/>
  <dc:description/>
  <cp:lastModifiedBy>Espinoza, Joy (ECY)</cp:lastModifiedBy>
  <cp:revision>8</cp:revision>
  <dcterms:created xsi:type="dcterms:W3CDTF">2019-01-07T17:05:00Z</dcterms:created>
  <dcterms:modified xsi:type="dcterms:W3CDTF">2019-02-13T19:14:00Z</dcterms:modified>
</cp:coreProperties>
</file>