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51679878" w:displacedByCustomXml="next"/>
    <w:bookmarkStart w:id="2" w:name="_Toc20816366" w:displacedByCustomXml="next"/>
    <w:sdt>
      <w:sdtPr>
        <w:rPr>
          <w:rFonts w:ascii="Times New Roman" w:hAnsi="Times New Roman"/>
          <w:sz w:val="24"/>
        </w:rPr>
        <w:id w:val="-1082979754"/>
        <w:docPartObj>
          <w:docPartGallery w:val="Table of Contents"/>
          <w:docPartUnique/>
        </w:docPartObj>
      </w:sdtPr>
      <w:sdtEndPr>
        <w:rPr>
          <w:b/>
          <w:bCs/>
          <w:noProof/>
        </w:rPr>
      </w:sdtEndPr>
      <w:sdtContent>
        <w:p w14:paraId="1650C430" w14:textId="77777777" w:rsidR="00F277E0" w:rsidRDefault="00F277E0" w:rsidP="00F277E0">
          <w:pPr>
            <w:pStyle w:val="TOCHeading"/>
          </w:pPr>
          <w:r>
            <w:t>Contents</w:t>
          </w:r>
          <w:bookmarkEnd w:id="1"/>
        </w:p>
        <w:p w14:paraId="450ECEFE" w14:textId="77777777" w:rsidR="00F277E0" w:rsidRDefault="00F277E0">
          <w:pPr>
            <w:pStyle w:val="TOC1"/>
            <w:tabs>
              <w:tab w:val="right" w:leader="dot" w:pos="9566"/>
            </w:tabs>
            <w:rPr>
              <w:rFonts w:eastAsiaTheme="minorEastAsia" w:cstheme="minorBidi"/>
              <w:b w:val="0"/>
              <w:bCs w:val="0"/>
              <w:caps w:val="0"/>
              <w:noProof/>
              <w:sz w:val="22"/>
              <w:szCs w:val="22"/>
            </w:rPr>
          </w:pPr>
          <w:r>
            <w:fldChar w:fldCharType="begin"/>
          </w:r>
          <w:r>
            <w:instrText xml:space="preserve"> TOC \o "1-5" \h \z \u </w:instrText>
          </w:r>
          <w:r>
            <w:fldChar w:fldCharType="separate"/>
          </w:r>
          <w:hyperlink w:anchor="_Toc51679878" w:history="1">
            <w:r w:rsidRPr="00797943">
              <w:rPr>
                <w:rStyle w:val="Hyperlink"/>
                <w:noProof/>
              </w:rPr>
              <w:t>Contents</w:t>
            </w:r>
            <w:r>
              <w:rPr>
                <w:noProof/>
                <w:webHidden/>
              </w:rPr>
              <w:tab/>
            </w:r>
            <w:r>
              <w:rPr>
                <w:noProof/>
                <w:webHidden/>
              </w:rPr>
              <w:fldChar w:fldCharType="begin"/>
            </w:r>
            <w:r>
              <w:rPr>
                <w:noProof/>
                <w:webHidden/>
              </w:rPr>
              <w:instrText xml:space="preserve"> PAGEREF _Toc51679878 \h </w:instrText>
            </w:r>
            <w:r>
              <w:rPr>
                <w:noProof/>
                <w:webHidden/>
              </w:rPr>
            </w:r>
            <w:r>
              <w:rPr>
                <w:noProof/>
                <w:webHidden/>
              </w:rPr>
              <w:fldChar w:fldCharType="separate"/>
            </w:r>
            <w:r>
              <w:rPr>
                <w:noProof/>
                <w:webHidden/>
              </w:rPr>
              <w:t>1</w:t>
            </w:r>
            <w:r>
              <w:rPr>
                <w:noProof/>
                <w:webHidden/>
              </w:rPr>
              <w:fldChar w:fldCharType="end"/>
            </w:r>
          </w:hyperlink>
        </w:p>
        <w:p w14:paraId="6427C9C7" w14:textId="77777777" w:rsidR="00F277E0" w:rsidRDefault="00BE46B1">
          <w:pPr>
            <w:pStyle w:val="TOC2"/>
            <w:tabs>
              <w:tab w:val="right" w:leader="dot" w:pos="9566"/>
            </w:tabs>
            <w:rPr>
              <w:rFonts w:eastAsiaTheme="minorEastAsia" w:cstheme="minorBidi"/>
              <w:smallCaps w:val="0"/>
              <w:noProof/>
              <w:sz w:val="22"/>
              <w:szCs w:val="22"/>
            </w:rPr>
          </w:pPr>
          <w:hyperlink w:anchor="_Toc51679879" w:history="1">
            <w:r w:rsidR="00F277E0" w:rsidRPr="00797943">
              <w:rPr>
                <w:rStyle w:val="Hyperlink"/>
                <w:noProof/>
              </w:rPr>
              <w:t>Chapter 10: Long-Term Strategy for Visibility Improvement</w:t>
            </w:r>
            <w:r w:rsidR="00F277E0">
              <w:rPr>
                <w:noProof/>
                <w:webHidden/>
              </w:rPr>
              <w:tab/>
            </w:r>
            <w:r w:rsidR="00F277E0">
              <w:rPr>
                <w:noProof/>
                <w:webHidden/>
              </w:rPr>
              <w:fldChar w:fldCharType="begin"/>
            </w:r>
            <w:r w:rsidR="00F277E0">
              <w:rPr>
                <w:noProof/>
                <w:webHidden/>
              </w:rPr>
              <w:instrText xml:space="preserve"> PAGEREF _Toc51679879 \h </w:instrText>
            </w:r>
            <w:r w:rsidR="00F277E0">
              <w:rPr>
                <w:noProof/>
                <w:webHidden/>
              </w:rPr>
            </w:r>
            <w:r w:rsidR="00F277E0">
              <w:rPr>
                <w:noProof/>
                <w:webHidden/>
              </w:rPr>
              <w:fldChar w:fldCharType="separate"/>
            </w:r>
            <w:r w:rsidR="00F277E0">
              <w:rPr>
                <w:noProof/>
                <w:webHidden/>
              </w:rPr>
              <w:t>2</w:t>
            </w:r>
            <w:r w:rsidR="00F277E0">
              <w:rPr>
                <w:noProof/>
                <w:webHidden/>
              </w:rPr>
              <w:fldChar w:fldCharType="end"/>
            </w:r>
          </w:hyperlink>
        </w:p>
        <w:p w14:paraId="6574B986" w14:textId="77777777" w:rsidR="00F277E0" w:rsidRDefault="00BE46B1">
          <w:pPr>
            <w:pStyle w:val="TOC3"/>
            <w:tabs>
              <w:tab w:val="right" w:leader="dot" w:pos="9566"/>
            </w:tabs>
            <w:rPr>
              <w:rFonts w:eastAsiaTheme="minorEastAsia" w:cstheme="minorBidi"/>
              <w:i w:val="0"/>
              <w:iCs w:val="0"/>
              <w:noProof/>
              <w:sz w:val="22"/>
              <w:szCs w:val="22"/>
            </w:rPr>
          </w:pPr>
          <w:hyperlink w:anchor="_Toc51679880" w:history="1">
            <w:r w:rsidR="00F277E0" w:rsidRPr="00797943">
              <w:rPr>
                <w:rStyle w:val="Hyperlink"/>
                <w:noProof/>
              </w:rPr>
              <w:t>Introduction</w:t>
            </w:r>
            <w:r w:rsidR="00F277E0">
              <w:rPr>
                <w:noProof/>
                <w:webHidden/>
              </w:rPr>
              <w:tab/>
            </w:r>
            <w:r w:rsidR="00F277E0">
              <w:rPr>
                <w:noProof/>
                <w:webHidden/>
              </w:rPr>
              <w:fldChar w:fldCharType="begin"/>
            </w:r>
            <w:r w:rsidR="00F277E0">
              <w:rPr>
                <w:noProof/>
                <w:webHidden/>
              </w:rPr>
              <w:instrText xml:space="preserve"> PAGEREF _Toc51679880 \h </w:instrText>
            </w:r>
            <w:r w:rsidR="00F277E0">
              <w:rPr>
                <w:noProof/>
                <w:webHidden/>
              </w:rPr>
            </w:r>
            <w:r w:rsidR="00F277E0">
              <w:rPr>
                <w:noProof/>
                <w:webHidden/>
              </w:rPr>
              <w:fldChar w:fldCharType="separate"/>
            </w:r>
            <w:r w:rsidR="00F277E0">
              <w:rPr>
                <w:noProof/>
                <w:webHidden/>
              </w:rPr>
              <w:t>2</w:t>
            </w:r>
            <w:r w:rsidR="00F277E0">
              <w:rPr>
                <w:noProof/>
                <w:webHidden/>
              </w:rPr>
              <w:fldChar w:fldCharType="end"/>
            </w:r>
          </w:hyperlink>
        </w:p>
        <w:p w14:paraId="49FE288A" w14:textId="77777777" w:rsidR="00F277E0" w:rsidRDefault="00BE46B1">
          <w:pPr>
            <w:pStyle w:val="TOC3"/>
            <w:tabs>
              <w:tab w:val="right" w:leader="dot" w:pos="9566"/>
            </w:tabs>
            <w:rPr>
              <w:rFonts w:eastAsiaTheme="minorEastAsia" w:cstheme="minorBidi"/>
              <w:i w:val="0"/>
              <w:iCs w:val="0"/>
              <w:noProof/>
              <w:sz w:val="22"/>
              <w:szCs w:val="22"/>
            </w:rPr>
          </w:pPr>
          <w:hyperlink w:anchor="_Toc51679881" w:history="1">
            <w:r w:rsidR="00F277E0" w:rsidRPr="00797943">
              <w:rPr>
                <w:rStyle w:val="Hyperlink"/>
                <w:noProof/>
              </w:rPr>
              <w:t>Development of Washington’s long-term strategy</w:t>
            </w:r>
            <w:r w:rsidR="00F277E0">
              <w:rPr>
                <w:noProof/>
                <w:webHidden/>
              </w:rPr>
              <w:tab/>
            </w:r>
            <w:r w:rsidR="00F277E0">
              <w:rPr>
                <w:noProof/>
                <w:webHidden/>
              </w:rPr>
              <w:fldChar w:fldCharType="begin"/>
            </w:r>
            <w:r w:rsidR="00F277E0">
              <w:rPr>
                <w:noProof/>
                <w:webHidden/>
              </w:rPr>
              <w:instrText xml:space="preserve"> PAGEREF _Toc51679881 \h </w:instrText>
            </w:r>
            <w:r w:rsidR="00F277E0">
              <w:rPr>
                <w:noProof/>
                <w:webHidden/>
              </w:rPr>
            </w:r>
            <w:r w:rsidR="00F277E0">
              <w:rPr>
                <w:noProof/>
                <w:webHidden/>
              </w:rPr>
              <w:fldChar w:fldCharType="separate"/>
            </w:r>
            <w:r w:rsidR="00F277E0">
              <w:rPr>
                <w:noProof/>
                <w:webHidden/>
              </w:rPr>
              <w:t>3</w:t>
            </w:r>
            <w:r w:rsidR="00F277E0">
              <w:rPr>
                <w:noProof/>
                <w:webHidden/>
              </w:rPr>
              <w:fldChar w:fldCharType="end"/>
            </w:r>
          </w:hyperlink>
        </w:p>
        <w:p w14:paraId="36660E53" w14:textId="77777777" w:rsidR="00F277E0" w:rsidRDefault="00BE46B1">
          <w:pPr>
            <w:pStyle w:val="TOC3"/>
            <w:tabs>
              <w:tab w:val="right" w:leader="dot" w:pos="9566"/>
            </w:tabs>
            <w:rPr>
              <w:rFonts w:eastAsiaTheme="minorEastAsia" w:cstheme="minorBidi"/>
              <w:i w:val="0"/>
              <w:iCs w:val="0"/>
              <w:noProof/>
              <w:sz w:val="22"/>
              <w:szCs w:val="22"/>
            </w:rPr>
          </w:pPr>
          <w:hyperlink w:anchor="_Toc51679882" w:history="1">
            <w:r w:rsidR="00F277E0" w:rsidRPr="00797943">
              <w:rPr>
                <w:rStyle w:val="Hyperlink"/>
                <w:noProof/>
              </w:rPr>
              <w:t>Major visibility-impairing pollutants</w:t>
            </w:r>
            <w:r w:rsidR="00F277E0">
              <w:rPr>
                <w:noProof/>
                <w:webHidden/>
              </w:rPr>
              <w:tab/>
            </w:r>
            <w:r w:rsidR="00F277E0">
              <w:rPr>
                <w:noProof/>
                <w:webHidden/>
              </w:rPr>
              <w:fldChar w:fldCharType="begin"/>
            </w:r>
            <w:r w:rsidR="00F277E0">
              <w:rPr>
                <w:noProof/>
                <w:webHidden/>
              </w:rPr>
              <w:instrText xml:space="preserve"> PAGEREF _Toc51679882 \h </w:instrText>
            </w:r>
            <w:r w:rsidR="00F277E0">
              <w:rPr>
                <w:noProof/>
                <w:webHidden/>
              </w:rPr>
            </w:r>
            <w:r w:rsidR="00F277E0">
              <w:rPr>
                <w:noProof/>
                <w:webHidden/>
              </w:rPr>
              <w:fldChar w:fldCharType="separate"/>
            </w:r>
            <w:r w:rsidR="00F277E0">
              <w:rPr>
                <w:noProof/>
                <w:webHidden/>
              </w:rPr>
              <w:t>3</w:t>
            </w:r>
            <w:r w:rsidR="00F277E0">
              <w:rPr>
                <w:noProof/>
                <w:webHidden/>
              </w:rPr>
              <w:fldChar w:fldCharType="end"/>
            </w:r>
          </w:hyperlink>
        </w:p>
        <w:p w14:paraId="044057FA" w14:textId="77777777" w:rsidR="00F277E0" w:rsidRDefault="00BE46B1">
          <w:pPr>
            <w:pStyle w:val="TOC4"/>
            <w:tabs>
              <w:tab w:val="right" w:leader="dot" w:pos="9566"/>
            </w:tabs>
            <w:rPr>
              <w:rFonts w:eastAsiaTheme="minorEastAsia" w:cstheme="minorBidi"/>
              <w:noProof/>
              <w:sz w:val="22"/>
              <w:szCs w:val="22"/>
            </w:rPr>
          </w:pPr>
          <w:hyperlink w:anchor="_Toc51679883" w:history="1">
            <w:r w:rsidR="00F277E0" w:rsidRPr="00797943">
              <w:rPr>
                <w:rStyle w:val="Hyperlink"/>
                <w:noProof/>
              </w:rPr>
              <w:t>Sulfates</w:t>
            </w:r>
            <w:r w:rsidR="00F277E0">
              <w:rPr>
                <w:noProof/>
                <w:webHidden/>
              </w:rPr>
              <w:tab/>
            </w:r>
            <w:r w:rsidR="00F277E0">
              <w:rPr>
                <w:noProof/>
                <w:webHidden/>
              </w:rPr>
              <w:fldChar w:fldCharType="begin"/>
            </w:r>
            <w:r w:rsidR="00F277E0">
              <w:rPr>
                <w:noProof/>
                <w:webHidden/>
              </w:rPr>
              <w:instrText xml:space="preserve"> PAGEREF _Toc51679883 \h </w:instrText>
            </w:r>
            <w:r w:rsidR="00F277E0">
              <w:rPr>
                <w:noProof/>
                <w:webHidden/>
              </w:rPr>
            </w:r>
            <w:r w:rsidR="00F277E0">
              <w:rPr>
                <w:noProof/>
                <w:webHidden/>
              </w:rPr>
              <w:fldChar w:fldCharType="separate"/>
            </w:r>
            <w:r w:rsidR="00F277E0">
              <w:rPr>
                <w:noProof/>
                <w:webHidden/>
              </w:rPr>
              <w:t>4</w:t>
            </w:r>
            <w:r w:rsidR="00F277E0">
              <w:rPr>
                <w:noProof/>
                <w:webHidden/>
              </w:rPr>
              <w:fldChar w:fldCharType="end"/>
            </w:r>
          </w:hyperlink>
        </w:p>
        <w:p w14:paraId="337BD2C9" w14:textId="77777777" w:rsidR="00F277E0" w:rsidRDefault="00BE46B1">
          <w:pPr>
            <w:pStyle w:val="TOC4"/>
            <w:tabs>
              <w:tab w:val="right" w:leader="dot" w:pos="9566"/>
            </w:tabs>
            <w:rPr>
              <w:rFonts w:eastAsiaTheme="minorEastAsia" w:cstheme="minorBidi"/>
              <w:noProof/>
              <w:sz w:val="22"/>
              <w:szCs w:val="22"/>
            </w:rPr>
          </w:pPr>
          <w:hyperlink w:anchor="_Toc51679884" w:history="1">
            <w:r w:rsidR="00F277E0" w:rsidRPr="00797943">
              <w:rPr>
                <w:rStyle w:val="Hyperlink"/>
                <w:noProof/>
              </w:rPr>
              <w:t>Nitrates</w:t>
            </w:r>
            <w:r w:rsidR="00F277E0">
              <w:rPr>
                <w:noProof/>
                <w:webHidden/>
              </w:rPr>
              <w:tab/>
            </w:r>
            <w:r w:rsidR="00F277E0">
              <w:rPr>
                <w:noProof/>
                <w:webHidden/>
              </w:rPr>
              <w:fldChar w:fldCharType="begin"/>
            </w:r>
            <w:r w:rsidR="00F277E0">
              <w:rPr>
                <w:noProof/>
                <w:webHidden/>
              </w:rPr>
              <w:instrText xml:space="preserve"> PAGEREF _Toc51679884 \h </w:instrText>
            </w:r>
            <w:r w:rsidR="00F277E0">
              <w:rPr>
                <w:noProof/>
                <w:webHidden/>
              </w:rPr>
            </w:r>
            <w:r w:rsidR="00F277E0">
              <w:rPr>
                <w:noProof/>
                <w:webHidden/>
              </w:rPr>
              <w:fldChar w:fldCharType="separate"/>
            </w:r>
            <w:r w:rsidR="00F277E0">
              <w:rPr>
                <w:noProof/>
                <w:webHidden/>
              </w:rPr>
              <w:t>4</w:t>
            </w:r>
            <w:r w:rsidR="00F277E0">
              <w:rPr>
                <w:noProof/>
                <w:webHidden/>
              </w:rPr>
              <w:fldChar w:fldCharType="end"/>
            </w:r>
          </w:hyperlink>
        </w:p>
        <w:p w14:paraId="30522F01" w14:textId="77777777" w:rsidR="00F277E0" w:rsidRDefault="00BE46B1">
          <w:pPr>
            <w:pStyle w:val="TOC4"/>
            <w:tabs>
              <w:tab w:val="right" w:leader="dot" w:pos="9566"/>
            </w:tabs>
            <w:rPr>
              <w:rFonts w:eastAsiaTheme="minorEastAsia" w:cstheme="minorBidi"/>
              <w:noProof/>
              <w:sz w:val="22"/>
              <w:szCs w:val="22"/>
            </w:rPr>
          </w:pPr>
          <w:hyperlink w:anchor="_Toc51679885" w:history="1">
            <w:r w:rsidR="00F277E0" w:rsidRPr="00797943">
              <w:rPr>
                <w:rStyle w:val="Hyperlink"/>
                <w:noProof/>
              </w:rPr>
              <w:t>Organic mass carbon</w:t>
            </w:r>
            <w:r w:rsidR="00F277E0">
              <w:rPr>
                <w:noProof/>
                <w:webHidden/>
              </w:rPr>
              <w:tab/>
            </w:r>
            <w:r w:rsidR="00F277E0">
              <w:rPr>
                <w:noProof/>
                <w:webHidden/>
              </w:rPr>
              <w:fldChar w:fldCharType="begin"/>
            </w:r>
            <w:r w:rsidR="00F277E0">
              <w:rPr>
                <w:noProof/>
                <w:webHidden/>
              </w:rPr>
              <w:instrText xml:space="preserve"> PAGEREF _Toc51679885 \h </w:instrText>
            </w:r>
            <w:r w:rsidR="00F277E0">
              <w:rPr>
                <w:noProof/>
                <w:webHidden/>
              </w:rPr>
            </w:r>
            <w:r w:rsidR="00F277E0">
              <w:rPr>
                <w:noProof/>
                <w:webHidden/>
              </w:rPr>
              <w:fldChar w:fldCharType="separate"/>
            </w:r>
            <w:r w:rsidR="00F277E0">
              <w:rPr>
                <w:noProof/>
                <w:webHidden/>
              </w:rPr>
              <w:t>4</w:t>
            </w:r>
            <w:r w:rsidR="00F277E0">
              <w:rPr>
                <w:noProof/>
                <w:webHidden/>
              </w:rPr>
              <w:fldChar w:fldCharType="end"/>
            </w:r>
          </w:hyperlink>
        </w:p>
        <w:p w14:paraId="5BE205DD" w14:textId="77777777" w:rsidR="00F277E0" w:rsidRDefault="00BE46B1">
          <w:pPr>
            <w:pStyle w:val="TOC3"/>
            <w:tabs>
              <w:tab w:val="right" w:leader="dot" w:pos="9566"/>
            </w:tabs>
            <w:rPr>
              <w:rFonts w:eastAsiaTheme="minorEastAsia" w:cstheme="minorBidi"/>
              <w:i w:val="0"/>
              <w:iCs w:val="0"/>
              <w:noProof/>
              <w:sz w:val="22"/>
              <w:szCs w:val="22"/>
            </w:rPr>
          </w:pPr>
          <w:hyperlink w:anchor="_Toc51679886" w:history="1">
            <w:r w:rsidR="00F277E0" w:rsidRPr="00797943">
              <w:rPr>
                <w:rStyle w:val="Hyperlink"/>
                <w:noProof/>
              </w:rPr>
              <w:t>State, federal, and local rules and controls that limit emissions of visibility impairing pollutants</w:t>
            </w:r>
            <w:r w:rsidR="00F277E0">
              <w:rPr>
                <w:noProof/>
                <w:webHidden/>
              </w:rPr>
              <w:tab/>
            </w:r>
            <w:r w:rsidR="00F277E0">
              <w:rPr>
                <w:noProof/>
                <w:webHidden/>
              </w:rPr>
              <w:fldChar w:fldCharType="begin"/>
            </w:r>
            <w:r w:rsidR="00F277E0">
              <w:rPr>
                <w:noProof/>
                <w:webHidden/>
              </w:rPr>
              <w:instrText xml:space="preserve"> PAGEREF _Toc51679886 \h </w:instrText>
            </w:r>
            <w:r w:rsidR="00F277E0">
              <w:rPr>
                <w:noProof/>
                <w:webHidden/>
              </w:rPr>
            </w:r>
            <w:r w:rsidR="00F277E0">
              <w:rPr>
                <w:noProof/>
                <w:webHidden/>
              </w:rPr>
              <w:fldChar w:fldCharType="separate"/>
            </w:r>
            <w:r w:rsidR="00F277E0">
              <w:rPr>
                <w:noProof/>
                <w:webHidden/>
              </w:rPr>
              <w:t>5</w:t>
            </w:r>
            <w:r w:rsidR="00F277E0">
              <w:rPr>
                <w:noProof/>
                <w:webHidden/>
              </w:rPr>
              <w:fldChar w:fldCharType="end"/>
            </w:r>
          </w:hyperlink>
        </w:p>
        <w:p w14:paraId="0907DA96" w14:textId="77777777" w:rsidR="00F277E0" w:rsidRDefault="00BE46B1">
          <w:pPr>
            <w:pStyle w:val="TOC4"/>
            <w:tabs>
              <w:tab w:val="right" w:leader="dot" w:pos="9566"/>
            </w:tabs>
            <w:rPr>
              <w:rFonts w:eastAsiaTheme="minorEastAsia" w:cstheme="minorBidi"/>
              <w:noProof/>
              <w:sz w:val="22"/>
              <w:szCs w:val="22"/>
            </w:rPr>
          </w:pPr>
          <w:hyperlink w:anchor="_Toc51679887" w:history="1">
            <w:r w:rsidR="00F277E0" w:rsidRPr="00797943">
              <w:rPr>
                <w:rStyle w:val="Hyperlink"/>
                <w:noProof/>
              </w:rPr>
              <w:t>Adopted rules, programs, and permits</w:t>
            </w:r>
            <w:r w:rsidR="00F277E0">
              <w:rPr>
                <w:noProof/>
                <w:webHidden/>
              </w:rPr>
              <w:tab/>
            </w:r>
            <w:r w:rsidR="00F277E0">
              <w:rPr>
                <w:noProof/>
                <w:webHidden/>
              </w:rPr>
              <w:fldChar w:fldCharType="begin"/>
            </w:r>
            <w:r w:rsidR="00F277E0">
              <w:rPr>
                <w:noProof/>
                <w:webHidden/>
              </w:rPr>
              <w:instrText xml:space="preserve"> PAGEREF _Toc51679887 \h </w:instrText>
            </w:r>
            <w:r w:rsidR="00F277E0">
              <w:rPr>
                <w:noProof/>
                <w:webHidden/>
              </w:rPr>
            </w:r>
            <w:r w:rsidR="00F277E0">
              <w:rPr>
                <w:noProof/>
                <w:webHidden/>
              </w:rPr>
              <w:fldChar w:fldCharType="separate"/>
            </w:r>
            <w:r w:rsidR="00F277E0">
              <w:rPr>
                <w:noProof/>
                <w:webHidden/>
              </w:rPr>
              <w:t>5</w:t>
            </w:r>
            <w:r w:rsidR="00F277E0">
              <w:rPr>
                <w:noProof/>
                <w:webHidden/>
              </w:rPr>
              <w:fldChar w:fldCharType="end"/>
            </w:r>
          </w:hyperlink>
        </w:p>
        <w:p w14:paraId="0D59642B" w14:textId="77777777" w:rsidR="00F277E0" w:rsidRDefault="00BE46B1">
          <w:pPr>
            <w:pStyle w:val="TOC3"/>
            <w:tabs>
              <w:tab w:val="right" w:leader="dot" w:pos="9566"/>
            </w:tabs>
            <w:rPr>
              <w:rFonts w:eastAsiaTheme="minorEastAsia" w:cstheme="minorBidi"/>
              <w:i w:val="0"/>
              <w:iCs w:val="0"/>
              <w:noProof/>
              <w:sz w:val="22"/>
              <w:szCs w:val="22"/>
            </w:rPr>
          </w:pPr>
          <w:hyperlink w:anchor="_Toc51679888" w:history="1">
            <w:r w:rsidR="00F277E0" w:rsidRPr="00797943">
              <w:rPr>
                <w:rStyle w:val="Hyperlink"/>
                <w:noProof/>
              </w:rPr>
              <w:t>Controls on visibility-impairing pollutants not in previous RH SIP</w:t>
            </w:r>
            <w:r w:rsidR="00F277E0">
              <w:rPr>
                <w:noProof/>
                <w:webHidden/>
              </w:rPr>
              <w:tab/>
            </w:r>
            <w:r w:rsidR="00F277E0">
              <w:rPr>
                <w:noProof/>
                <w:webHidden/>
              </w:rPr>
              <w:fldChar w:fldCharType="begin"/>
            </w:r>
            <w:r w:rsidR="00F277E0">
              <w:rPr>
                <w:noProof/>
                <w:webHidden/>
              </w:rPr>
              <w:instrText xml:space="preserve"> PAGEREF _Toc51679888 \h </w:instrText>
            </w:r>
            <w:r w:rsidR="00F277E0">
              <w:rPr>
                <w:noProof/>
                <w:webHidden/>
              </w:rPr>
            </w:r>
            <w:r w:rsidR="00F277E0">
              <w:rPr>
                <w:noProof/>
                <w:webHidden/>
              </w:rPr>
              <w:fldChar w:fldCharType="separate"/>
            </w:r>
            <w:r w:rsidR="00F277E0">
              <w:rPr>
                <w:noProof/>
                <w:webHidden/>
              </w:rPr>
              <w:t>6</w:t>
            </w:r>
            <w:r w:rsidR="00F277E0">
              <w:rPr>
                <w:noProof/>
                <w:webHidden/>
              </w:rPr>
              <w:fldChar w:fldCharType="end"/>
            </w:r>
          </w:hyperlink>
        </w:p>
        <w:p w14:paraId="39647786" w14:textId="77777777" w:rsidR="00F277E0" w:rsidRDefault="00BE46B1">
          <w:pPr>
            <w:pStyle w:val="TOC4"/>
            <w:tabs>
              <w:tab w:val="right" w:leader="dot" w:pos="9566"/>
            </w:tabs>
            <w:rPr>
              <w:rFonts w:eastAsiaTheme="minorEastAsia" w:cstheme="minorBidi"/>
              <w:noProof/>
              <w:sz w:val="22"/>
              <w:szCs w:val="22"/>
            </w:rPr>
          </w:pPr>
          <w:hyperlink w:anchor="_Toc51679889" w:history="1">
            <w:r w:rsidR="00F277E0" w:rsidRPr="00797943">
              <w:rPr>
                <w:rStyle w:val="Hyperlink"/>
                <w:noProof/>
              </w:rPr>
              <w:t>Washington State emission limits and shutdowns</w:t>
            </w:r>
            <w:r w:rsidR="00F277E0">
              <w:rPr>
                <w:noProof/>
                <w:webHidden/>
              </w:rPr>
              <w:tab/>
            </w:r>
            <w:r w:rsidR="00F277E0">
              <w:rPr>
                <w:noProof/>
                <w:webHidden/>
              </w:rPr>
              <w:fldChar w:fldCharType="begin"/>
            </w:r>
            <w:r w:rsidR="00F277E0">
              <w:rPr>
                <w:noProof/>
                <w:webHidden/>
              </w:rPr>
              <w:instrText xml:space="preserve"> PAGEREF _Toc51679889 \h </w:instrText>
            </w:r>
            <w:r w:rsidR="00F277E0">
              <w:rPr>
                <w:noProof/>
                <w:webHidden/>
              </w:rPr>
            </w:r>
            <w:r w:rsidR="00F277E0">
              <w:rPr>
                <w:noProof/>
                <w:webHidden/>
              </w:rPr>
              <w:fldChar w:fldCharType="separate"/>
            </w:r>
            <w:r w:rsidR="00F277E0">
              <w:rPr>
                <w:noProof/>
                <w:webHidden/>
              </w:rPr>
              <w:t>7</w:t>
            </w:r>
            <w:r w:rsidR="00F277E0">
              <w:rPr>
                <w:noProof/>
                <w:webHidden/>
              </w:rPr>
              <w:fldChar w:fldCharType="end"/>
            </w:r>
          </w:hyperlink>
        </w:p>
        <w:p w14:paraId="5E4A2878" w14:textId="77777777" w:rsidR="00F277E0" w:rsidRDefault="00BE46B1">
          <w:pPr>
            <w:pStyle w:val="TOC4"/>
            <w:tabs>
              <w:tab w:val="right" w:leader="dot" w:pos="9566"/>
            </w:tabs>
            <w:rPr>
              <w:rFonts w:eastAsiaTheme="minorEastAsia" w:cstheme="minorBidi"/>
              <w:noProof/>
              <w:sz w:val="22"/>
              <w:szCs w:val="22"/>
            </w:rPr>
          </w:pPr>
          <w:hyperlink w:anchor="_Toc51679890" w:history="1">
            <w:r w:rsidR="00F277E0" w:rsidRPr="00797943">
              <w:rPr>
                <w:rStyle w:val="Hyperlink"/>
                <w:noProof/>
              </w:rPr>
              <w:t>Area and mobile sources</w:t>
            </w:r>
            <w:r w:rsidR="00F277E0">
              <w:rPr>
                <w:noProof/>
                <w:webHidden/>
              </w:rPr>
              <w:tab/>
            </w:r>
            <w:r w:rsidR="00F277E0">
              <w:rPr>
                <w:noProof/>
                <w:webHidden/>
              </w:rPr>
              <w:fldChar w:fldCharType="begin"/>
            </w:r>
            <w:r w:rsidR="00F277E0">
              <w:rPr>
                <w:noProof/>
                <w:webHidden/>
              </w:rPr>
              <w:instrText xml:space="preserve"> PAGEREF _Toc51679890 \h </w:instrText>
            </w:r>
            <w:r w:rsidR="00F277E0">
              <w:rPr>
                <w:noProof/>
                <w:webHidden/>
              </w:rPr>
            </w:r>
            <w:r w:rsidR="00F277E0">
              <w:rPr>
                <w:noProof/>
                <w:webHidden/>
              </w:rPr>
              <w:fldChar w:fldCharType="separate"/>
            </w:r>
            <w:r w:rsidR="00F277E0">
              <w:rPr>
                <w:noProof/>
                <w:webHidden/>
              </w:rPr>
              <w:t>8</w:t>
            </w:r>
            <w:r w:rsidR="00F277E0">
              <w:rPr>
                <w:noProof/>
                <w:webHidden/>
              </w:rPr>
              <w:fldChar w:fldCharType="end"/>
            </w:r>
          </w:hyperlink>
        </w:p>
        <w:p w14:paraId="5DFF66CC" w14:textId="77777777" w:rsidR="00F277E0" w:rsidRDefault="00BE46B1">
          <w:pPr>
            <w:pStyle w:val="TOC5"/>
            <w:tabs>
              <w:tab w:val="right" w:leader="dot" w:pos="9566"/>
            </w:tabs>
            <w:rPr>
              <w:rFonts w:eastAsiaTheme="minorEastAsia" w:cstheme="minorBidi"/>
              <w:noProof/>
              <w:sz w:val="22"/>
              <w:szCs w:val="22"/>
            </w:rPr>
          </w:pPr>
          <w:hyperlink w:anchor="_Toc51679891" w:history="1">
            <w:r w:rsidR="00F277E0" w:rsidRPr="00797943">
              <w:rPr>
                <w:rStyle w:val="Hyperlink"/>
                <w:noProof/>
              </w:rPr>
              <w:t>Woodstoves</w:t>
            </w:r>
            <w:r w:rsidR="00F277E0">
              <w:rPr>
                <w:noProof/>
                <w:webHidden/>
              </w:rPr>
              <w:tab/>
            </w:r>
            <w:r w:rsidR="00F277E0">
              <w:rPr>
                <w:noProof/>
                <w:webHidden/>
              </w:rPr>
              <w:fldChar w:fldCharType="begin"/>
            </w:r>
            <w:r w:rsidR="00F277E0">
              <w:rPr>
                <w:noProof/>
                <w:webHidden/>
              </w:rPr>
              <w:instrText xml:space="preserve"> PAGEREF _Toc51679891 \h </w:instrText>
            </w:r>
            <w:r w:rsidR="00F277E0">
              <w:rPr>
                <w:noProof/>
                <w:webHidden/>
              </w:rPr>
            </w:r>
            <w:r w:rsidR="00F277E0">
              <w:rPr>
                <w:noProof/>
                <w:webHidden/>
              </w:rPr>
              <w:fldChar w:fldCharType="separate"/>
            </w:r>
            <w:r w:rsidR="00F277E0">
              <w:rPr>
                <w:noProof/>
                <w:webHidden/>
              </w:rPr>
              <w:t>8</w:t>
            </w:r>
            <w:r w:rsidR="00F277E0">
              <w:rPr>
                <w:noProof/>
                <w:webHidden/>
              </w:rPr>
              <w:fldChar w:fldCharType="end"/>
            </w:r>
          </w:hyperlink>
        </w:p>
        <w:p w14:paraId="2A178CD5" w14:textId="77777777" w:rsidR="00F277E0" w:rsidRDefault="00BE46B1">
          <w:pPr>
            <w:pStyle w:val="TOC5"/>
            <w:tabs>
              <w:tab w:val="right" w:leader="dot" w:pos="9566"/>
            </w:tabs>
            <w:rPr>
              <w:rFonts w:eastAsiaTheme="minorEastAsia" w:cstheme="minorBidi"/>
              <w:noProof/>
              <w:sz w:val="22"/>
              <w:szCs w:val="22"/>
            </w:rPr>
          </w:pPr>
          <w:hyperlink w:anchor="_Toc51679892" w:history="1">
            <w:r w:rsidR="00F277E0" w:rsidRPr="00797943">
              <w:rPr>
                <w:rStyle w:val="Hyperlink"/>
                <w:noProof/>
              </w:rPr>
              <w:t>Mobile sources</w:t>
            </w:r>
            <w:r w:rsidR="00F277E0">
              <w:rPr>
                <w:noProof/>
                <w:webHidden/>
              </w:rPr>
              <w:tab/>
            </w:r>
            <w:r w:rsidR="00F277E0">
              <w:rPr>
                <w:noProof/>
                <w:webHidden/>
              </w:rPr>
              <w:fldChar w:fldCharType="begin"/>
            </w:r>
            <w:r w:rsidR="00F277E0">
              <w:rPr>
                <w:noProof/>
                <w:webHidden/>
              </w:rPr>
              <w:instrText xml:space="preserve"> PAGEREF _Toc51679892 \h </w:instrText>
            </w:r>
            <w:r w:rsidR="00F277E0">
              <w:rPr>
                <w:noProof/>
                <w:webHidden/>
              </w:rPr>
            </w:r>
            <w:r w:rsidR="00F277E0">
              <w:rPr>
                <w:noProof/>
                <w:webHidden/>
              </w:rPr>
              <w:fldChar w:fldCharType="separate"/>
            </w:r>
            <w:r w:rsidR="00F277E0">
              <w:rPr>
                <w:noProof/>
                <w:webHidden/>
              </w:rPr>
              <w:t>9</w:t>
            </w:r>
            <w:r w:rsidR="00F277E0">
              <w:rPr>
                <w:noProof/>
                <w:webHidden/>
              </w:rPr>
              <w:fldChar w:fldCharType="end"/>
            </w:r>
          </w:hyperlink>
        </w:p>
        <w:p w14:paraId="6482905B" w14:textId="77777777" w:rsidR="00F277E0" w:rsidRDefault="00BE46B1">
          <w:pPr>
            <w:pStyle w:val="TOC4"/>
            <w:tabs>
              <w:tab w:val="right" w:leader="dot" w:pos="9566"/>
            </w:tabs>
            <w:rPr>
              <w:rFonts w:eastAsiaTheme="minorEastAsia" w:cstheme="minorBidi"/>
              <w:noProof/>
              <w:sz w:val="22"/>
              <w:szCs w:val="22"/>
            </w:rPr>
          </w:pPr>
          <w:hyperlink w:anchor="_Toc51679893" w:history="1">
            <w:r w:rsidR="00F277E0" w:rsidRPr="00797943">
              <w:rPr>
                <w:rStyle w:val="Hyperlink"/>
                <w:noProof/>
              </w:rPr>
              <w:t>Factors required for the long-term strategy</w:t>
            </w:r>
            <w:r w:rsidR="00F277E0">
              <w:rPr>
                <w:noProof/>
                <w:webHidden/>
              </w:rPr>
              <w:tab/>
            </w:r>
            <w:r w:rsidR="00F277E0">
              <w:rPr>
                <w:noProof/>
                <w:webHidden/>
              </w:rPr>
              <w:fldChar w:fldCharType="begin"/>
            </w:r>
            <w:r w:rsidR="00F277E0">
              <w:rPr>
                <w:noProof/>
                <w:webHidden/>
              </w:rPr>
              <w:instrText xml:space="preserve"> PAGEREF _Toc51679893 \h </w:instrText>
            </w:r>
            <w:r w:rsidR="00F277E0">
              <w:rPr>
                <w:noProof/>
                <w:webHidden/>
              </w:rPr>
            </w:r>
            <w:r w:rsidR="00F277E0">
              <w:rPr>
                <w:noProof/>
                <w:webHidden/>
              </w:rPr>
              <w:fldChar w:fldCharType="separate"/>
            </w:r>
            <w:r w:rsidR="00F277E0">
              <w:rPr>
                <w:noProof/>
                <w:webHidden/>
              </w:rPr>
              <w:t>10</w:t>
            </w:r>
            <w:r w:rsidR="00F277E0">
              <w:rPr>
                <w:noProof/>
                <w:webHidden/>
              </w:rPr>
              <w:fldChar w:fldCharType="end"/>
            </w:r>
          </w:hyperlink>
        </w:p>
        <w:p w14:paraId="7FE8F01C" w14:textId="77777777" w:rsidR="00F277E0" w:rsidRDefault="00BE46B1">
          <w:pPr>
            <w:pStyle w:val="TOC5"/>
            <w:tabs>
              <w:tab w:val="right" w:leader="dot" w:pos="9566"/>
            </w:tabs>
            <w:rPr>
              <w:rFonts w:eastAsiaTheme="minorEastAsia" w:cstheme="minorBidi"/>
              <w:noProof/>
              <w:sz w:val="22"/>
              <w:szCs w:val="22"/>
            </w:rPr>
          </w:pPr>
          <w:hyperlink w:anchor="_Toc51679894" w:history="1">
            <w:r w:rsidR="00F277E0" w:rsidRPr="00797943">
              <w:rPr>
                <w:rStyle w:val="Hyperlink"/>
                <w:noProof/>
              </w:rPr>
              <w:t>Emission reductions due to ongoing air pollution control programs, including measures to address RAVI (40 CFR 51.308(d)(3)(v)(A)).</w:t>
            </w:r>
            <w:r w:rsidR="00F277E0">
              <w:rPr>
                <w:noProof/>
                <w:webHidden/>
              </w:rPr>
              <w:tab/>
            </w:r>
            <w:r w:rsidR="00F277E0">
              <w:rPr>
                <w:noProof/>
                <w:webHidden/>
              </w:rPr>
              <w:fldChar w:fldCharType="begin"/>
            </w:r>
            <w:r w:rsidR="00F277E0">
              <w:rPr>
                <w:noProof/>
                <w:webHidden/>
              </w:rPr>
              <w:instrText xml:space="preserve"> PAGEREF _Toc51679894 \h </w:instrText>
            </w:r>
            <w:r w:rsidR="00F277E0">
              <w:rPr>
                <w:noProof/>
                <w:webHidden/>
              </w:rPr>
            </w:r>
            <w:r w:rsidR="00F277E0">
              <w:rPr>
                <w:noProof/>
                <w:webHidden/>
              </w:rPr>
              <w:fldChar w:fldCharType="separate"/>
            </w:r>
            <w:r w:rsidR="00F277E0">
              <w:rPr>
                <w:noProof/>
                <w:webHidden/>
              </w:rPr>
              <w:t>10</w:t>
            </w:r>
            <w:r w:rsidR="00F277E0">
              <w:rPr>
                <w:noProof/>
                <w:webHidden/>
              </w:rPr>
              <w:fldChar w:fldCharType="end"/>
            </w:r>
          </w:hyperlink>
        </w:p>
        <w:p w14:paraId="26506872" w14:textId="77777777" w:rsidR="00F277E0" w:rsidRDefault="00BE46B1">
          <w:pPr>
            <w:pStyle w:val="TOC5"/>
            <w:tabs>
              <w:tab w:val="right" w:leader="dot" w:pos="9566"/>
            </w:tabs>
            <w:rPr>
              <w:rFonts w:eastAsiaTheme="minorEastAsia" w:cstheme="minorBidi"/>
              <w:noProof/>
              <w:sz w:val="22"/>
              <w:szCs w:val="22"/>
            </w:rPr>
          </w:pPr>
          <w:hyperlink w:anchor="_Toc51679895" w:history="1">
            <w:r w:rsidR="00F277E0" w:rsidRPr="00797943">
              <w:rPr>
                <w:rStyle w:val="Hyperlink"/>
                <w:noProof/>
              </w:rPr>
              <w:t>Emission reductions to mitigate the impacts of construction activities (40 CFR 51.308(d)(3)(v)(B)).</w:t>
            </w:r>
            <w:r w:rsidR="00F277E0">
              <w:rPr>
                <w:noProof/>
                <w:webHidden/>
              </w:rPr>
              <w:tab/>
            </w:r>
            <w:r w:rsidR="00F277E0">
              <w:rPr>
                <w:noProof/>
                <w:webHidden/>
              </w:rPr>
              <w:fldChar w:fldCharType="begin"/>
            </w:r>
            <w:r w:rsidR="00F277E0">
              <w:rPr>
                <w:noProof/>
                <w:webHidden/>
              </w:rPr>
              <w:instrText xml:space="preserve"> PAGEREF _Toc51679895 \h </w:instrText>
            </w:r>
            <w:r w:rsidR="00F277E0">
              <w:rPr>
                <w:noProof/>
                <w:webHidden/>
              </w:rPr>
            </w:r>
            <w:r w:rsidR="00F277E0">
              <w:rPr>
                <w:noProof/>
                <w:webHidden/>
              </w:rPr>
              <w:fldChar w:fldCharType="separate"/>
            </w:r>
            <w:r w:rsidR="00F277E0">
              <w:rPr>
                <w:noProof/>
                <w:webHidden/>
              </w:rPr>
              <w:t>11</w:t>
            </w:r>
            <w:r w:rsidR="00F277E0">
              <w:rPr>
                <w:noProof/>
                <w:webHidden/>
              </w:rPr>
              <w:fldChar w:fldCharType="end"/>
            </w:r>
          </w:hyperlink>
        </w:p>
        <w:p w14:paraId="75C3A412" w14:textId="77777777" w:rsidR="00F277E0" w:rsidRDefault="00BE46B1">
          <w:pPr>
            <w:pStyle w:val="TOC5"/>
            <w:tabs>
              <w:tab w:val="right" w:leader="dot" w:pos="9566"/>
            </w:tabs>
            <w:rPr>
              <w:rFonts w:eastAsiaTheme="minorEastAsia" w:cstheme="minorBidi"/>
              <w:noProof/>
              <w:sz w:val="22"/>
              <w:szCs w:val="22"/>
            </w:rPr>
          </w:pPr>
          <w:hyperlink w:anchor="_Toc51679896" w:history="1">
            <w:r w:rsidR="00F277E0" w:rsidRPr="00797943">
              <w:rPr>
                <w:rStyle w:val="Hyperlink"/>
                <w:noProof/>
              </w:rPr>
              <w:t>Emission limitations and schedules of compliance to achieve the RPG (40 CFR 51.308(d)(3)(v)(C)).</w:t>
            </w:r>
            <w:r w:rsidR="00F277E0">
              <w:rPr>
                <w:noProof/>
                <w:webHidden/>
              </w:rPr>
              <w:tab/>
            </w:r>
            <w:r w:rsidR="00F277E0">
              <w:rPr>
                <w:noProof/>
                <w:webHidden/>
              </w:rPr>
              <w:fldChar w:fldCharType="begin"/>
            </w:r>
            <w:r w:rsidR="00F277E0">
              <w:rPr>
                <w:noProof/>
                <w:webHidden/>
              </w:rPr>
              <w:instrText xml:space="preserve"> PAGEREF _Toc51679896 \h </w:instrText>
            </w:r>
            <w:r w:rsidR="00F277E0">
              <w:rPr>
                <w:noProof/>
                <w:webHidden/>
              </w:rPr>
            </w:r>
            <w:r w:rsidR="00F277E0">
              <w:rPr>
                <w:noProof/>
                <w:webHidden/>
              </w:rPr>
              <w:fldChar w:fldCharType="separate"/>
            </w:r>
            <w:r w:rsidR="00F277E0">
              <w:rPr>
                <w:noProof/>
                <w:webHidden/>
              </w:rPr>
              <w:t>11</w:t>
            </w:r>
            <w:r w:rsidR="00F277E0">
              <w:rPr>
                <w:noProof/>
                <w:webHidden/>
              </w:rPr>
              <w:fldChar w:fldCharType="end"/>
            </w:r>
          </w:hyperlink>
        </w:p>
        <w:p w14:paraId="6D7A2B64" w14:textId="77777777" w:rsidR="00F277E0" w:rsidRDefault="00BE46B1">
          <w:pPr>
            <w:pStyle w:val="TOC5"/>
            <w:tabs>
              <w:tab w:val="right" w:leader="dot" w:pos="9566"/>
            </w:tabs>
            <w:rPr>
              <w:rFonts w:eastAsiaTheme="minorEastAsia" w:cstheme="minorBidi"/>
              <w:noProof/>
              <w:sz w:val="22"/>
              <w:szCs w:val="22"/>
            </w:rPr>
          </w:pPr>
          <w:hyperlink w:anchor="_Toc51679897" w:history="1">
            <w:r w:rsidR="00F277E0" w:rsidRPr="00797943">
              <w:rPr>
                <w:rStyle w:val="Hyperlink"/>
                <w:noProof/>
              </w:rPr>
              <w:t>Source retirement and replacement schedules (40 CFR 51.308(d)(3)(v)(D)).</w:t>
            </w:r>
            <w:r w:rsidR="00F277E0">
              <w:rPr>
                <w:noProof/>
                <w:webHidden/>
              </w:rPr>
              <w:tab/>
            </w:r>
            <w:r w:rsidR="00F277E0">
              <w:rPr>
                <w:noProof/>
                <w:webHidden/>
              </w:rPr>
              <w:fldChar w:fldCharType="begin"/>
            </w:r>
            <w:r w:rsidR="00F277E0">
              <w:rPr>
                <w:noProof/>
                <w:webHidden/>
              </w:rPr>
              <w:instrText xml:space="preserve"> PAGEREF _Toc51679897 \h </w:instrText>
            </w:r>
            <w:r w:rsidR="00F277E0">
              <w:rPr>
                <w:noProof/>
                <w:webHidden/>
              </w:rPr>
            </w:r>
            <w:r w:rsidR="00F277E0">
              <w:rPr>
                <w:noProof/>
                <w:webHidden/>
              </w:rPr>
              <w:fldChar w:fldCharType="separate"/>
            </w:r>
            <w:r w:rsidR="00F277E0">
              <w:rPr>
                <w:noProof/>
                <w:webHidden/>
              </w:rPr>
              <w:t>12</w:t>
            </w:r>
            <w:r w:rsidR="00F277E0">
              <w:rPr>
                <w:noProof/>
                <w:webHidden/>
              </w:rPr>
              <w:fldChar w:fldCharType="end"/>
            </w:r>
          </w:hyperlink>
        </w:p>
        <w:p w14:paraId="02DF880E" w14:textId="77777777" w:rsidR="00F277E0" w:rsidRDefault="00BE46B1">
          <w:pPr>
            <w:pStyle w:val="TOC5"/>
            <w:tabs>
              <w:tab w:val="right" w:leader="dot" w:pos="9566"/>
            </w:tabs>
            <w:rPr>
              <w:rFonts w:eastAsiaTheme="minorEastAsia" w:cstheme="minorBidi"/>
              <w:noProof/>
              <w:sz w:val="22"/>
              <w:szCs w:val="22"/>
            </w:rPr>
          </w:pPr>
          <w:hyperlink w:anchor="_Toc51679898" w:history="1">
            <w:r w:rsidR="00F277E0" w:rsidRPr="00797943">
              <w:rPr>
                <w:rStyle w:val="Hyperlink"/>
                <w:noProof/>
              </w:rPr>
              <w:t>Smoke management techniques for agriculture and forestry management purposes including plans as they currently exist within the state for these purposes (40 CFR 51.308(d)(3)(v)(E)).</w:t>
            </w:r>
            <w:r w:rsidR="00F277E0">
              <w:rPr>
                <w:noProof/>
                <w:webHidden/>
              </w:rPr>
              <w:tab/>
            </w:r>
            <w:r w:rsidR="00F277E0">
              <w:rPr>
                <w:noProof/>
                <w:webHidden/>
              </w:rPr>
              <w:fldChar w:fldCharType="begin"/>
            </w:r>
            <w:r w:rsidR="00F277E0">
              <w:rPr>
                <w:noProof/>
                <w:webHidden/>
              </w:rPr>
              <w:instrText xml:space="preserve"> PAGEREF _Toc51679898 \h </w:instrText>
            </w:r>
            <w:r w:rsidR="00F277E0">
              <w:rPr>
                <w:noProof/>
                <w:webHidden/>
              </w:rPr>
            </w:r>
            <w:r w:rsidR="00F277E0">
              <w:rPr>
                <w:noProof/>
                <w:webHidden/>
              </w:rPr>
              <w:fldChar w:fldCharType="separate"/>
            </w:r>
            <w:r w:rsidR="00F277E0">
              <w:rPr>
                <w:noProof/>
                <w:webHidden/>
              </w:rPr>
              <w:t>12</w:t>
            </w:r>
            <w:r w:rsidR="00F277E0">
              <w:rPr>
                <w:noProof/>
                <w:webHidden/>
              </w:rPr>
              <w:fldChar w:fldCharType="end"/>
            </w:r>
          </w:hyperlink>
        </w:p>
        <w:p w14:paraId="547323C7" w14:textId="77777777" w:rsidR="00F277E0" w:rsidRDefault="00BE46B1">
          <w:pPr>
            <w:pStyle w:val="TOC5"/>
            <w:tabs>
              <w:tab w:val="right" w:leader="dot" w:pos="9566"/>
            </w:tabs>
            <w:rPr>
              <w:rFonts w:eastAsiaTheme="minorEastAsia" w:cstheme="minorBidi"/>
              <w:noProof/>
              <w:sz w:val="22"/>
              <w:szCs w:val="22"/>
            </w:rPr>
          </w:pPr>
          <w:hyperlink w:anchor="_Toc51679899" w:history="1">
            <w:r w:rsidR="00F277E0" w:rsidRPr="00797943">
              <w:rPr>
                <w:rStyle w:val="Hyperlink"/>
                <w:noProof/>
              </w:rPr>
              <w:t>Enforceability of emission limitations and control measures (40 CFR 51.308(d)(3)(v)(F)).</w:t>
            </w:r>
            <w:r w:rsidR="00F277E0">
              <w:rPr>
                <w:noProof/>
                <w:webHidden/>
              </w:rPr>
              <w:tab/>
            </w:r>
            <w:r w:rsidR="00F277E0">
              <w:rPr>
                <w:noProof/>
                <w:webHidden/>
              </w:rPr>
              <w:fldChar w:fldCharType="begin"/>
            </w:r>
            <w:r w:rsidR="00F277E0">
              <w:rPr>
                <w:noProof/>
                <w:webHidden/>
              </w:rPr>
              <w:instrText xml:space="preserve"> PAGEREF _Toc51679899 \h </w:instrText>
            </w:r>
            <w:r w:rsidR="00F277E0">
              <w:rPr>
                <w:noProof/>
                <w:webHidden/>
              </w:rPr>
            </w:r>
            <w:r w:rsidR="00F277E0">
              <w:rPr>
                <w:noProof/>
                <w:webHidden/>
              </w:rPr>
              <w:fldChar w:fldCharType="separate"/>
            </w:r>
            <w:r w:rsidR="00F277E0">
              <w:rPr>
                <w:noProof/>
                <w:webHidden/>
              </w:rPr>
              <w:t>12</w:t>
            </w:r>
            <w:r w:rsidR="00F277E0">
              <w:rPr>
                <w:noProof/>
                <w:webHidden/>
              </w:rPr>
              <w:fldChar w:fldCharType="end"/>
            </w:r>
          </w:hyperlink>
        </w:p>
        <w:p w14:paraId="603066F4" w14:textId="77777777" w:rsidR="00F277E0" w:rsidRDefault="00BE46B1">
          <w:pPr>
            <w:pStyle w:val="TOC5"/>
            <w:tabs>
              <w:tab w:val="right" w:leader="dot" w:pos="9566"/>
            </w:tabs>
            <w:rPr>
              <w:rFonts w:eastAsiaTheme="minorEastAsia" w:cstheme="minorBidi"/>
              <w:noProof/>
              <w:sz w:val="22"/>
              <w:szCs w:val="22"/>
            </w:rPr>
          </w:pPr>
          <w:hyperlink w:anchor="_Toc51679900" w:history="1">
            <w:r w:rsidR="00F277E0" w:rsidRPr="00797943">
              <w:rPr>
                <w:rStyle w:val="Hyperlink"/>
                <w:noProof/>
              </w:rPr>
              <w:t>The anticipated net effect on visibility due to projected changes in point, area, and mobile source emissions over the second control period which ends in 2028 (40 CFR 51.308(d)(3)(v)(G)).</w:t>
            </w:r>
            <w:r w:rsidR="00F277E0">
              <w:rPr>
                <w:noProof/>
                <w:webHidden/>
              </w:rPr>
              <w:tab/>
            </w:r>
            <w:r w:rsidR="00F277E0">
              <w:rPr>
                <w:noProof/>
                <w:webHidden/>
              </w:rPr>
              <w:fldChar w:fldCharType="begin"/>
            </w:r>
            <w:r w:rsidR="00F277E0">
              <w:rPr>
                <w:noProof/>
                <w:webHidden/>
              </w:rPr>
              <w:instrText xml:space="preserve"> PAGEREF _Toc51679900 \h </w:instrText>
            </w:r>
            <w:r w:rsidR="00F277E0">
              <w:rPr>
                <w:noProof/>
                <w:webHidden/>
              </w:rPr>
            </w:r>
            <w:r w:rsidR="00F277E0">
              <w:rPr>
                <w:noProof/>
                <w:webHidden/>
              </w:rPr>
              <w:fldChar w:fldCharType="separate"/>
            </w:r>
            <w:r w:rsidR="00F277E0">
              <w:rPr>
                <w:noProof/>
                <w:webHidden/>
              </w:rPr>
              <w:t>13</w:t>
            </w:r>
            <w:r w:rsidR="00F277E0">
              <w:rPr>
                <w:noProof/>
                <w:webHidden/>
              </w:rPr>
              <w:fldChar w:fldCharType="end"/>
            </w:r>
          </w:hyperlink>
        </w:p>
        <w:p w14:paraId="3BEA916E" w14:textId="77777777" w:rsidR="00F277E0" w:rsidRDefault="00BE46B1">
          <w:pPr>
            <w:pStyle w:val="TOC4"/>
            <w:tabs>
              <w:tab w:val="right" w:leader="dot" w:pos="9566"/>
            </w:tabs>
            <w:rPr>
              <w:rFonts w:eastAsiaTheme="minorEastAsia" w:cstheme="minorBidi"/>
              <w:noProof/>
              <w:sz w:val="22"/>
              <w:szCs w:val="22"/>
            </w:rPr>
          </w:pPr>
          <w:hyperlink w:anchor="_Toc51679901" w:history="1">
            <w:r w:rsidR="00F277E0" w:rsidRPr="00797943">
              <w:rPr>
                <w:rStyle w:val="Hyperlink"/>
                <w:noProof/>
              </w:rPr>
              <w:t>Summary</w:t>
            </w:r>
            <w:r w:rsidR="00F277E0">
              <w:rPr>
                <w:noProof/>
                <w:webHidden/>
              </w:rPr>
              <w:tab/>
            </w:r>
            <w:r w:rsidR="00F277E0">
              <w:rPr>
                <w:noProof/>
                <w:webHidden/>
              </w:rPr>
              <w:fldChar w:fldCharType="begin"/>
            </w:r>
            <w:r w:rsidR="00F277E0">
              <w:rPr>
                <w:noProof/>
                <w:webHidden/>
              </w:rPr>
              <w:instrText xml:space="preserve"> PAGEREF _Toc51679901 \h </w:instrText>
            </w:r>
            <w:r w:rsidR="00F277E0">
              <w:rPr>
                <w:noProof/>
                <w:webHidden/>
              </w:rPr>
            </w:r>
            <w:r w:rsidR="00F277E0">
              <w:rPr>
                <w:noProof/>
                <w:webHidden/>
              </w:rPr>
              <w:fldChar w:fldCharType="separate"/>
            </w:r>
            <w:r w:rsidR="00F277E0">
              <w:rPr>
                <w:noProof/>
                <w:webHidden/>
              </w:rPr>
              <w:t>14</w:t>
            </w:r>
            <w:r w:rsidR="00F277E0">
              <w:rPr>
                <w:noProof/>
                <w:webHidden/>
              </w:rPr>
              <w:fldChar w:fldCharType="end"/>
            </w:r>
          </w:hyperlink>
        </w:p>
        <w:p w14:paraId="6B839FEB" w14:textId="77777777" w:rsidR="00F277E0" w:rsidRDefault="00F277E0" w:rsidP="00F277E0">
          <w:r>
            <w:rPr>
              <w:rFonts w:asciiTheme="minorHAnsi" w:hAnsiTheme="minorHAnsi" w:cstheme="minorHAnsi"/>
              <w:smallCaps/>
              <w:sz w:val="20"/>
            </w:rPr>
            <w:fldChar w:fldCharType="end"/>
          </w:r>
        </w:p>
      </w:sdtContent>
    </w:sdt>
    <w:p w14:paraId="339AD808" w14:textId="77777777" w:rsidR="00F277E0" w:rsidRPr="00A1525D" w:rsidRDefault="00F277E0" w:rsidP="00F277E0">
      <w:pPr>
        <w:spacing w:after="0"/>
        <w:contextualSpacing/>
        <w:rPr>
          <w:rFonts w:asciiTheme="minorHAnsi" w:hAnsiTheme="minorHAnsi" w:cstheme="minorHAnsi"/>
          <w:szCs w:val="24"/>
        </w:rPr>
      </w:pPr>
    </w:p>
    <w:p w14:paraId="3077C818" w14:textId="7E0A5E27" w:rsidR="007F47CE" w:rsidRDefault="007F47CE" w:rsidP="007F47CE">
      <w:pPr>
        <w:pStyle w:val="Heading2"/>
      </w:pPr>
      <w:bookmarkStart w:id="3" w:name="_Toc51679879"/>
      <w:r w:rsidRPr="00641B56">
        <w:lastRenderedPageBreak/>
        <w:t>Chapter 10</w:t>
      </w:r>
      <w:r w:rsidR="00DD5E73">
        <w:t xml:space="preserve">: </w:t>
      </w:r>
      <w:r w:rsidRPr="00641B56">
        <w:t>L</w:t>
      </w:r>
      <w:r w:rsidR="00170C49">
        <w:t>ong</w:t>
      </w:r>
      <w:r w:rsidR="003E39D3">
        <w:t>-</w:t>
      </w:r>
      <w:r w:rsidRPr="00641B56">
        <w:t>Term Strategy for Visibility Improvement</w:t>
      </w:r>
      <w:bookmarkEnd w:id="3"/>
      <w:bookmarkEnd w:id="2"/>
    </w:p>
    <w:p w14:paraId="161A3B30" w14:textId="317103EA" w:rsidR="007F47CE" w:rsidRPr="002D339A" w:rsidRDefault="00184B6F" w:rsidP="007F47CE">
      <w:pPr>
        <w:pStyle w:val="Heading3"/>
      </w:pPr>
      <w:bookmarkStart w:id="4" w:name="_Toc51679880"/>
      <w:r>
        <w:t>Introduction</w:t>
      </w:r>
      <w:bookmarkEnd w:id="4"/>
    </w:p>
    <w:p w14:paraId="0F6337BA" w14:textId="1C7651F6" w:rsidR="00997307" w:rsidRPr="00BD5795" w:rsidDel="00170C49" w:rsidRDefault="008762AB" w:rsidP="006E4C9C">
      <w:pPr>
        <w:pStyle w:val="Paragraph"/>
      </w:pPr>
      <w:r>
        <w:t>In</w:t>
      </w:r>
      <w:r w:rsidR="00B41A7E">
        <w:t xml:space="preserve"> this c</w:t>
      </w:r>
      <w:r w:rsidR="00183361">
        <w:t>hapter, we describe the S</w:t>
      </w:r>
      <w:r>
        <w:t xml:space="preserve">tate of </w:t>
      </w:r>
      <w:r w:rsidR="00997307" w:rsidRPr="00BD5795">
        <w:t xml:space="preserve">Washington’s </w:t>
      </w:r>
      <w:r w:rsidR="00866831">
        <w:t>long-term s</w:t>
      </w:r>
      <w:r w:rsidR="00997307">
        <w:t>trategy (</w:t>
      </w:r>
      <w:r w:rsidR="00997307" w:rsidRPr="00BD5795" w:rsidDel="00170C49">
        <w:t>LTS</w:t>
      </w:r>
      <w:r w:rsidR="00997307">
        <w:t>)</w:t>
      </w:r>
      <w:r w:rsidR="00997307" w:rsidRPr="00BD5795" w:rsidDel="00170C49">
        <w:t xml:space="preserve"> </w:t>
      </w:r>
      <w:r w:rsidR="00997307" w:rsidRPr="00BD5795">
        <w:t>for visibility improvem</w:t>
      </w:r>
      <w:r>
        <w:t>ent</w:t>
      </w:r>
      <w:r w:rsidR="00997307" w:rsidRPr="00BD5795">
        <w:t>.</w:t>
      </w:r>
      <w:r w:rsidR="00F421BC">
        <w:t xml:space="preserve"> </w:t>
      </w:r>
      <w:r>
        <w:t>The strategy</w:t>
      </w:r>
      <w:r w:rsidR="00D24436">
        <w:t xml:space="preserve"> covers a 1</w:t>
      </w:r>
      <w:r w:rsidR="004010C1">
        <w:t>0-ye</w:t>
      </w:r>
      <w:r w:rsidR="00184B6F">
        <w:t xml:space="preserve">ar period from 2018 to 2028. </w:t>
      </w:r>
      <w:r w:rsidR="00EB26D5">
        <w:t>We</w:t>
      </w:r>
      <w:r w:rsidR="004902C9">
        <w:t xml:space="preserve"> focus</w:t>
      </w:r>
      <w:r w:rsidR="00EB26D5">
        <w:t xml:space="preserve"> both</w:t>
      </w:r>
      <w:r w:rsidR="004902C9">
        <w:t xml:space="preserve"> on identifying</w:t>
      </w:r>
      <w:r w:rsidR="00184B6F">
        <w:t xml:space="preserve"> various</w:t>
      </w:r>
      <w:r>
        <w:t xml:space="preserve"> </w:t>
      </w:r>
      <w:r w:rsidR="007C67FF">
        <w:t xml:space="preserve">existing </w:t>
      </w:r>
      <w:r>
        <w:t>regulatory m</w:t>
      </w:r>
      <w:r w:rsidR="00184B6F">
        <w:t>echanisms</w:t>
      </w:r>
      <w:r w:rsidR="00293EAE">
        <w:t xml:space="preserve"> </w:t>
      </w:r>
      <w:r w:rsidR="00EA5FC7">
        <w:t xml:space="preserve">and </w:t>
      </w:r>
      <w:r w:rsidR="00EB26D5">
        <w:t xml:space="preserve">those </w:t>
      </w:r>
      <w:r w:rsidR="00EA5FC7">
        <w:t>need</w:t>
      </w:r>
      <w:r w:rsidR="00EB26D5">
        <w:t>ed</w:t>
      </w:r>
      <w:r w:rsidR="00EA5FC7">
        <w:t xml:space="preserve"> in the future to reduce </w:t>
      </w:r>
      <w:r w:rsidR="00184B6F">
        <w:t>visibility-impairing</w:t>
      </w:r>
      <w:r>
        <w:t xml:space="preserve"> </w:t>
      </w:r>
      <w:r w:rsidR="00D24436" w:rsidRPr="008B725A">
        <w:t>emissions</w:t>
      </w:r>
      <w:r w:rsidR="00EA5FC7">
        <w:t xml:space="preserve">. </w:t>
      </w:r>
      <w:r w:rsidR="00581474">
        <w:t>Facilities within the state generate t</w:t>
      </w:r>
      <w:r w:rsidR="00EA5FC7">
        <w:t xml:space="preserve">hese </w:t>
      </w:r>
      <w:r w:rsidR="00184B6F">
        <w:t>emissions</w:t>
      </w:r>
      <w:r w:rsidR="00581474">
        <w:t>,</w:t>
      </w:r>
      <w:r>
        <w:t xml:space="preserve"> and</w:t>
      </w:r>
      <w:r w:rsidR="00D24436" w:rsidRPr="008B725A">
        <w:t xml:space="preserve"> </w:t>
      </w:r>
      <w:r w:rsidR="00581474">
        <w:t>we</w:t>
      </w:r>
      <w:r>
        <w:t xml:space="preserve"> </w:t>
      </w:r>
      <w:r w:rsidR="00D24436" w:rsidRPr="008B725A">
        <w:t xml:space="preserve">reasonably anticipate </w:t>
      </w:r>
      <w:r w:rsidR="00581474">
        <w:t xml:space="preserve">them </w:t>
      </w:r>
      <w:r w:rsidR="00D24436" w:rsidRPr="008B725A">
        <w:t>to contri</w:t>
      </w:r>
      <w:r w:rsidR="00D24436">
        <w:t xml:space="preserve">bute to visibility impairment in </w:t>
      </w:r>
      <w:r w:rsidR="004010C1">
        <w:t>mandatory Class I Areas (</w:t>
      </w:r>
      <w:r w:rsidR="00D24436">
        <w:t>CIAs</w:t>
      </w:r>
      <w:r w:rsidR="004010C1">
        <w:t>)</w:t>
      </w:r>
      <w:r w:rsidR="00D24436">
        <w:t xml:space="preserve"> located w</w:t>
      </w:r>
      <w:r w:rsidR="00183361">
        <w:t>ithin and outside of the state.</w:t>
      </w:r>
    </w:p>
    <w:p w14:paraId="19E46EEF" w14:textId="35DD6567" w:rsidR="00D80D38" w:rsidRDefault="003A53ED">
      <w:pPr>
        <w:pStyle w:val="Paragraph"/>
      </w:pPr>
      <w:r>
        <w:t>The LTS is one of the core components of the</w:t>
      </w:r>
      <w:r w:rsidR="009752ED">
        <w:t xml:space="preserve"> regional haze state implementation</w:t>
      </w:r>
      <w:r>
        <w:t xml:space="preserve"> </w:t>
      </w:r>
      <w:r w:rsidR="00183361">
        <w:t xml:space="preserve">plan </w:t>
      </w:r>
      <w:r w:rsidR="009752ED">
        <w:t>(</w:t>
      </w:r>
      <w:r>
        <w:t>RH SIP</w:t>
      </w:r>
      <w:r w:rsidR="009752ED">
        <w:t>)</w:t>
      </w:r>
      <w:r>
        <w:t xml:space="preserve">. </w:t>
      </w:r>
      <w:r w:rsidR="00581442">
        <w:t>Section</w:t>
      </w:r>
      <w:r w:rsidR="00581442" w:rsidRPr="00F55684">
        <w:t>169A(b)(2)(B)</w:t>
      </w:r>
      <w:r w:rsidR="00581442" w:rsidRPr="008B725A">
        <w:t xml:space="preserve"> </w:t>
      </w:r>
      <w:r w:rsidR="00581442">
        <w:t>of t</w:t>
      </w:r>
      <w:r w:rsidR="007F47CE" w:rsidRPr="008B725A">
        <w:t xml:space="preserve">he </w:t>
      </w:r>
      <w:r w:rsidR="00341B50">
        <w:t xml:space="preserve">federal </w:t>
      </w:r>
      <w:r w:rsidR="007F47CE" w:rsidRPr="008B725A">
        <w:t>Clean Air Act</w:t>
      </w:r>
      <w:r>
        <w:t xml:space="preserve"> (CAA)</w:t>
      </w:r>
      <w:r w:rsidR="00F55684">
        <w:t xml:space="preserve"> </w:t>
      </w:r>
      <w:r w:rsidR="007F47CE" w:rsidRPr="008B725A">
        <w:t xml:space="preserve">requires a </w:t>
      </w:r>
      <w:r w:rsidR="00130116">
        <w:t>R</w:t>
      </w:r>
      <w:r w:rsidR="009752ED">
        <w:t xml:space="preserve">H </w:t>
      </w:r>
      <w:r w:rsidR="007F47CE" w:rsidRPr="008B725A">
        <w:t xml:space="preserve">SIP to </w:t>
      </w:r>
      <w:r w:rsidR="004D0212">
        <w:t>include</w:t>
      </w:r>
      <w:r w:rsidR="0033624D">
        <w:t xml:space="preserve"> an </w:t>
      </w:r>
      <w:r w:rsidR="004D0212" w:rsidDel="00170C49">
        <w:t>LTS</w:t>
      </w:r>
      <w:r w:rsidR="007F47CE" w:rsidRPr="008B725A">
        <w:t xml:space="preserve"> for making reasonable progress toward the national goal of remedying any existing visibility impairment in </w:t>
      </w:r>
      <w:r w:rsidR="00130116">
        <w:t>CIAs</w:t>
      </w:r>
      <w:r w:rsidR="007F47CE" w:rsidRPr="008B725A">
        <w:t xml:space="preserve"> resulting from human-caused air pollution and preventing future visibility impairment</w:t>
      </w:r>
      <w:r w:rsidR="00341B50">
        <w:t>.</w:t>
      </w:r>
      <w:r w:rsidR="00183361">
        <w:t xml:space="preserve"> The regional haze rule (RHR) also requires that states consider seven factors in developing their LTS</w:t>
      </w:r>
      <w:r w:rsidR="00DB1167">
        <w:t xml:space="preserve"> (40 CFR 51.308(d)(3)(v))</w:t>
      </w:r>
      <w:r w:rsidR="00183361">
        <w:t xml:space="preserve">. </w:t>
      </w:r>
      <w:r w:rsidR="001D6310">
        <w:t>We discuss t</w:t>
      </w:r>
      <w:r w:rsidR="00183361">
        <w:t xml:space="preserve">hose factors later in the </w:t>
      </w:r>
      <w:r w:rsidR="001D6310">
        <w:t>c</w:t>
      </w:r>
      <w:r w:rsidR="00183361">
        <w:t>hapter.</w:t>
      </w:r>
    </w:p>
    <w:p w14:paraId="3B604511" w14:textId="4C7576CA" w:rsidR="00BD5795" w:rsidRDefault="007E0C4C">
      <w:pPr>
        <w:pStyle w:val="Paragraph"/>
      </w:pPr>
      <w:r>
        <w:t>40 CFR 51.308(f)(3)(i)</w:t>
      </w:r>
      <w:r w:rsidR="00B75B15">
        <w:t xml:space="preserve"> contains the administrative rules the EPA uses</w:t>
      </w:r>
      <w:r w:rsidR="00B75B15" w:rsidRPr="00B75B15">
        <w:t xml:space="preserve"> to execute</w:t>
      </w:r>
      <w:r w:rsidR="00B75B15">
        <w:t xml:space="preserve"> and </w:t>
      </w:r>
      <w:r w:rsidR="00B75B15" w:rsidRPr="00B75B15">
        <w:t xml:space="preserve">interpret </w:t>
      </w:r>
      <w:r w:rsidR="003A53ED">
        <w:t>th</w:t>
      </w:r>
      <w:r w:rsidR="008762AB">
        <w:t xml:space="preserve">e </w:t>
      </w:r>
      <w:r w:rsidR="003A53ED">
        <w:t>CAA</w:t>
      </w:r>
      <w:r w:rsidR="008762AB">
        <w:t>’s LTS requirements</w:t>
      </w:r>
      <w:r>
        <w:t>.</w:t>
      </w:r>
      <w:r w:rsidR="00D80D38">
        <w:t xml:space="preserve"> 40 CFR 51.308(d)(3) </w:t>
      </w:r>
      <w:r w:rsidR="009F60DD">
        <w:t>explains</w:t>
      </w:r>
      <w:r>
        <w:t xml:space="preserve"> </w:t>
      </w:r>
      <w:r w:rsidR="00D80D38">
        <w:t>that the LTS must include</w:t>
      </w:r>
      <w:r w:rsidR="0033624D">
        <w:t xml:space="preserve"> </w:t>
      </w:r>
      <w:r w:rsidR="00BD5795" w:rsidRPr="007E0C4C">
        <w:t>“enforceable emission</w:t>
      </w:r>
      <w:r w:rsidR="009A4405">
        <w:t>s</w:t>
      </w:r>
      <w:r w:rsidR="00BD5795" w:rsidRPr="007E0C4C">
        <w:t xml:space="preserve"> limitations, compliance schedules, and other measures as necessary to achieve the reasonable progress goals established by States ha</w:t>
      </w:r>
      <w:r w:rsidR="008762AB">
        <w:t>ving mandatory Class I Federal a</w:t>
      </w:r>
      <w:r w:rsidR="00BD5795" w:rsidRPr="007E0C4C">
        <w:t>reas.</w:t>
      </w:r>
      <w:r w:rsidR="00ED699C" w:rsidRPr="007E0C4C">
        <w:t>”</w:t>
      </w:r>
    </w:p>
    <w:p w14:paraId="1BDF6C8C" w14:textId="70D036A1" w:rsidR="002459FB" w:rsidRDefault="0078193A" w:rsidP="002459FB">
      <w:pPr>
        <w:pStyle w:val="BulletedList"/>
        <w:numPr>
          <w:ilvl w:val="0"/>
          <w:numId w:val="0"/>
        </w:numPr>
      </w:pPr>
      <w:r>
        <w:t>The reasonable pro</w:t>
      </w:r>
      <w:r w:rsidR="009F60DD">
        <w:t>gress goals (</w:t>
      </w:r>
      <w:r w:rsidRPr="008B725A">
        <w:t>RPG</w:t>
      </w:r>
      <w:r>
        <w:t>s</w:t>
      </w:r>
      <w:r w:rsidR="009F60DD">
        <w:t>)</w:t>
      </w:r>
      <w:r w:rsidRPr="008B725A">
        <w:t xml:space="preserve"> serve as benchmark</w:t>
      </w:r>
      <w:r>
        <w:t>s</w:t>
      </w:r>
      <w:r w:rsidRPr="008B725A">
        <w:t xml:space="preserve"> for progress in meeting the national </w:t>
      </w:r>
      <w:r>
        <w:t xml:space="preserve">visibility </w:t>
      </w:r>
      <w:r w:rsidRPr="008B725A">
        <w:t>goal by 2064.</w:t>
      </w:r>
      <w:r>
        <w:t xml:space="preserve"> </w:t>
      </w:r>
      <w:r w:rsidR="009F60DD">
        <w:t>We describe RPGs for Washington’s CIAs in Chapter</w:t>
      </w:r>
      <w:r w:rsidR="00183361">
        <w:t xml:space="preserve"> 9</w:t>
      </w:r>
      <w:r w:rsidR="00B465C6">
        <w:t xml:space="preserve"> in detail</w:t>
      </w:r>
      <w:r w:rsidR="009F60DD">
        <w:t xml:space="preserve">. </w:t>
      </w:r>
      <w:r w:rsidR="008E55D6">
        <w:t>We measure our progress</w:t>
      </w:r>
      <w:r w:rsidR="00B465C6">
        <w:t xml:space="preserve"> towards RPGs</w:t>
      </w:r>
      <w:r w:rsidR="008E55D6">
        <w:t xml:space="preserve"> and success of our LTS by evaluating </w:t>
      </w:r>
      <w:r w:rsidR="00620264">
        <w:t>improvements in visibility on the</w:t>
      </w:r>
      <w:r w:rsidR="008E55D6">
        <w:t xml:space="preserve"> most </w:t>
      </w:r>
      <w:r w:rsidR="00620264">
        <w:t xml:space="preserve">impaired days (MID). Thus, </w:t>
      </w:r>
      <w:r w:rsidR="00AB603C">
        <w:t xml:space="preserve">we focus </w:t>
      </w:r>
      <w:r w:rsidR="00B465C6">
        <w:t xml:space="preserve">Washington’s </w:t>
      </w:r>
      <w:r w:rsidR="008E55D6">
        <w:t>LTS for this second</w:t>
      </w:r>
      <w:r w:rsidR="008E55D6" w:rsidRPr="004578FE">
        <w:t xml:space="preserve"> RH SIP </w:t>
      </w:r>
      <w:r w:rsidR="008E55D6">
        <w:t xml:space="preserve">on the controls that </w:t>
      </w:r>
      <w:r w:rsidR="00620264">
        <w:t>would improve</w:t>
      </w:r>
      <w:r w:rsidR="004902C9">
        <w:t xml:space="preserve"> visibility on the</w:t>
      </w:r>
      <w:r w:rsidR="00620264">
        <w:t xml:space="preserve"> </w:t>
      </w:r>
      <w:r w:rsidR="008E55D6">
        <w:t>MID. Reductions in e</w:t>
      </w:r>
      <w:r w:rsidR="008E55D6" w:rsidRPr="008B725A">
        <w:t xml:space="preserve">missions </w:t>
      </w:r>
      <w:r w:rsidR="008E55D6">
        <w:t>that</w:t>
      </w:r>
      <w:r w:rsidR="008E55D6" w:rsidRPr="008B725A">
        <w:t xml:space="preserve"> </w:t>
      </w:r>
      <w:r w:rsidR="00AB603C" w:rsidRPr="008B725A">
        <w:t>affect</w:t>
      </w:r>
      <w:r w:rsidR="008E55D6" w:rsidRPr="008B725A">
        <w:t xml:space="preserve"> </w:t>
      </w:r>
      <w:r w:rsidR="008E55D6">
        <w:t xml:space="preserve">MID </w:t>
      </w:r>
      <w:r w:rsidR="008E55D6" w:rsidRPr="008B725A">
        <w:t xml:space="preserve">will </w:t>
      </w:r>
      <w:r w:rsidR="008E55D6">
        <w:t xml:space="preserve">also improve or </w:t>
      </w:r>
      <w:r w:rsidR="008E55D6" w:rsidRPr="008B725A">
        <w:t xml:space="preserve">maintain visibility on the </w:t>
      </w:r>
      <w:r w:rsidR="008E55D6">
        <w:t>clearest days</w:t>
      </w:r>
      <w:r w:rsidR="008E55D6" w:rsidRPr="008B725A">
        <w:t>.</w:t>
      </w:r>
      <w:r w:rsidR="008E55D6" w:rsidDel="005671BD">
        <w:t xml:space="preserve"> </w:t>
      </w:r>
      <w:r w:rsidR="00266CEC" w:rsidRPr="00F277E0">
        <w:t>Chapter 5</w:t>
      </w:r>
      <w:r w:rsidR="003F5059">
        <w:t xml:space="preserve"> details information about MID.</w:t>
      </w:r>
    </w:p>
    <w:p w14:paraId="5FCD211D" w14:textId="093DDCEC" w:rsidR="00B65864" w:rsidRPr="007E0C4C" w:rsidRDefault="00FE5048" w:rsidP="00B65864">
      <w:pPr>
        <w:pStyle w:val="Paragraph"/>
        <w:rPr>
          <w:rFonts w:ascii="Times New Roman" w:hAnsi="Times New Roman"/>
          <w:szCs w:val="24"/>
        </w:rPr>
      </w:pPr>
      <w:r>
        <w:t>W</w:t>
      </w:r>
      <w:r w:rsidR="008E55D6">
        <w:t>e identified which pollutants</w:t>
      </w:r>
      <w:r w:rsidR="002459FB">
        <w:t xml:space="preserve"> contribute significantly to the MIDs and</w:t>
      </w:r>
      <w:r w:rsidR="00F277E0">
        <w:t xml:space="preserve"> that</w:t>
      </w:r>
      <w:r w:rsidR="002459FB">
        <w:t xml:space="preserve"> </w:t>
      </w:r>
      <w:r w:rsidR="007447F2">
        <w:t>we</w:t>
      </w:r>
      <w:r w:rsidR="008E55D6">
        <w:t xml:space="preserve"> need to reduce</w:t>
      </w:r>
      <w:r w:rsidR="009A4405">
        <w:t xml:space="preserve"> during this second implementation </w:t>
      </w:r>
      <w:r w:rsidR="00B465C6">
        <w:t xml:space="preserve">period. </w:t>
      </w:r>
      <w:r w:rsidR="002459FB" w:rsidRPr="00446686">
        <w:rPr>
          <w:rFonts w:eastAsia="Calibri"/>
        </w:rPr>
        <w:t>Interagency Monitoring of Protected Visual Environments</w:t>
      </w:r>
      <w:r w:rsidR="0028367E">
        <w:rPr>
          <w:rFonts w:eastAsia="Calibri"/>
        </w:rPr>
        <w:t xml:space="preserve"> (IMPROVE) monitoring data</w:t>
      </w:r>
      <w:r w:rsidR="002459FB">
        <w:rPr>
          <w:rFonts w:eastAsia="Calibri"/>
        </w:rPr>
        <w:t xml:space="preserve"> show</w:t>
      </w:r>
      <w:r w:rsidR="0028367E">
        <w:rPr>
          <w:rFonts w:eastAsia="Calibri"/>
        </w:rPr>
        <w:t>s</w:t>
      </w:r>
      <w:r w:rsidR="002459FB">
        <w:rPr>
          <w:rFonts w:eastAsia="Calibri"/>
        </w:rPr>
        <w:t xml:space="preserve"> that sulfates</w:t>
      </w:r>
      <w:r w:rsidR="0028367E">
        <w:rPr>
          <w:rFonts w:eastAsia="Calibri"/>
        </w:rPr>
        <w:t xml:space="preserve"> (primarily)</w:t>
      </w:r>
      <w:r w:rsidR="002459FB">
        <w:rPr>
          <w:rFonts w:eastAsia="Calibri"/>
        </w:rPr>
        <w:t>, nitrates</w:t>
      </w:r>
      <w:r w:rsidR="0028367E">
        <w:rPr>
          <w:rFonts w:eastAsia="Calibri"/>
        </w:rPr>
        <w:t xml:space="preserve"> (secondarily)</w:t>
      </w:r>
      <w:r w:rsidR="002459FB">
        <w:rPr>
          <w:rFonts w:eastAsia="Calibri"/>
        </w:rPr>
        <w:t xml:space="preserve">, and Organic Mass Carbon (OMC) are dominant pollution species affecting </w:t>
      </w:r>
      <w:r w:rsidR="0028367E">
        <w:rPr>
          <w:rFonts w:eastAsia="Calibri"/>
        </w:rPr>
        <w:t xml:space="preserve">visibility in the </w:t>
      </w:r>
      <w:r w:rsidR="00BD79A1">
        <w:rPr>
          <w:rFonts w:eastAsia="Calibri"/>
        </w:rPr>
        <w:t>CIAs during the MID</w:t>
      </w:r>
      <w:r w:rsidR="002459FB">
        <w:rPr>
          <w:rFonts w:eastAsia="Calibri"/>
        </w:rPr>
        <w:t xml:space="preserve">. </w:t>
      </w:r>
      <w:r w:rsidR="00B65864">
        <w:rPr>
          <w:rFonts w:eastAsia="Calibri"/>
        </w:rPr>
        <w:t xml:space="preserve">We identified sources of these pollutants </w:t>
      </w:r>
      <w:r w:rsidR="00BD79A1">
        <w:rPr>
          <w:rFonts w:eastAsia="Calibri"/>
        </w:rPr>
        <w:t xml:space="preserve">from </w:t>
      </w:r>
      <w:r w:rsidR="00B65864">
        <w:rPr>
          <w:rFonts w:eastAsia="Calibri"/>
        </w:rPr>
        <w:t>within</w:t>
      </w:r>
      <w:r w:rsidR="00BD79A1">
        <w:rPr>
          <w:rFonts w:eastAsia="Calibri"/>
        </w:rPr>
        <w:t xml:space="preserve"> and outside</w:t>
      </w:r>
      <w:r w:rsidR="00B65864">
        <w:rPr>
          <w:rFonts w:eastAsia="Calibri"/>
        </w:rPr>
        <w:t xml:space="preserve"> Washington </w:t>
      </w:r>
      <w:r w:rsidR="00BD79A1">
        <w:rPr>
          <w:rFonts w:eastAsia="Calibri"/>
        </w:rPr>
        <w:t>State. Chapter 11 describes our source selection and evaluation process.</w:t>
      </w:r>
    </w:p>
    <w:p w14:paraId="1A669140" w14:textId="3098A093" w:rsidR="00B65864" w:rsidRDefault="00BD79A1" w:rsidP="00B65864">
      <w:pPr>
        <w:pStyle w:val="Paragraph"/>
      </w:pPr>
      <w:r>
        <w:t>W</w:t>
      </w:r>
      <w:r w:rsidR="00B65864">
        <w:t xml:space="preserve">e </w:t>
      </w:r>
      <w:r w:rsidR="004902C9">
        <w:t>incorporate the results of the f</w:t>
      </w:r>
      <w:r w:rsidR="00B65864">
        <w:t>ederally-mandated controls to calcul</w:t>
      </w:r>
      <w:r w:rsidR="00F277E0">
        <w:t>ate anticipated progress toward</w:t>
      </w:r>
      <w:r w:rsidR="00B65864">
        <w:t xml:space="preserve"> the RPGs,</w:t>
      </w:r>
      <w:r>
        <w:t xml:space="preserve"> but</w:t>
      </w:r>
      <w:r w:rsidR="00B65864">
        <w:t xml:space="preserve"> Washington’s emissions control authority only applies to sources and pollutants within the state’s regulatory jurisdiction. Emission sources outside of Washington’s </w:t>
      </w:r>
      <w:r w:rsidR="00B65864">
        <w:lastRenderedPageBreak/>
        <w:t>control include wildfires</w:t>
      </w:r>
      <w:r w:rsidR="008808D1">
        <w:t xml:space="preserve"> and prescribed burning</w:t>
      </w:r>
      <w:r w:rsidR="00B65864">
        <w:t>, marine vessels</w:t>
      </w:r>
      <w:r w:rsidR="009D7626">
        <w:t xml:space="preserve"> and offshore</w:t>
      </w:r>
      <w:r w:rsidR="00B65864">
        <w:t>, international emissions, mobile sources, and so</w:t>
      </w:r>
      <w:r w:rsidR="009D7626">
        <w:t>urces in other states</w:t>
      </w:r>
      <w:r w:rsidR="00B65864">
        <w:t>.</w:t>
      </w:r>
    </w:p>
    <w:p w14:paraId="1B6C2CFC" w14:textId="0B1C5301" w:rsidR="003A402A" w:rsidRDefault="00B65864" w:rsidP="003A402A">
      <w:pPr>
        <w:pStyle w:val="BulletedList"/>
        <w:numPr>
          <w:ilvl w:val="0"/>
          <w:numId w:val="0"/>
        </w:numPr>
        <w:rPr>
          <w:rFonts w:cstheme="minorHAnsi"/>
        </w:rPr>
      </w:pPr>
      <w:r>
        <w:t>We also</w:t>
      </w:r>
      <w:r w:rsidR="004902C9">
        <w:t xml:space="preserve"> identified f</w:t>
      </w:r>
      <w:r w:rsidR="008E55D6">
        <w:t>ederal, state and local rules</w:t>
      </w:r>
      <w:r w:rsidR="004902C9">
        <w:t>, permits and standards that limit haze causing emissions</w:t>
      </w:r>
      <w:r w:rsidR="00866D95">
        <w:t xml:space="preserve"> and are either already in place or will be put in place during this implementation period</w:t>
      </w:r>
      <w:r w:rsidR="0078193A">
        <w:t>.</w:t>
      </w:r>
      <w:r>
        <w:t xml:space="preserve"> We rely</w:t>
      </w:r>
      <w:r w:rsidR="004902C9">
        <w:t xml:space="preserve"> on </w:t>
      </w:r>
      <w:r w:rsidR="00BD79A1">
        <w:t xml:space="preserve">these </w:t>
      </w:r>
      <w:r w:rsidR="002459FB">
        <w:rPr>
          <w:rFonts w:cstheme="minorHAnsi"/>
        </w:rPr>
        <w:t>e</w:t>
      </w:r>
      <w:r w:rsidR="004902C9">
        <w:rPr>
          <w:rFonts w:cstheme="minorHAnsi"/>
        </w:rPr>
        <w:t>mission controls to</w:t>
      </w:r>
      <w:r w:rsidR="002459FB">
        <w:rPr>
          <w:rFonts w:cstheme="minorHAnsi"/>
        </w:rPr>
        <w:t xml:space="preserve"> decrease emissions during and beyond the implementation period of 2018 – 2028.</w:t>
      </w:r>
    </w:p>
    <w:p w14:paraId="5C7D4102" w14:textId="6FCE3280" w:rsidR="00EA5FC7" w:rsidRDefault="008E55D6" w:rsidP="003A402A">
      <w:pPr>
        <w:pStyle w:val="BulletedList"/>
        <w:numPr>
          <w:ilvl w:val="0"/>
          <w:numId w:val="0"/>
        </w:numPr>
        <w:rPr>
          <w:shd w:val="clear" w:color="auto" w:fill="FFFFFF"/>
        </w:rPr>
      </w:pPr>
      <w:r>
        <w:t>Federal fuel and engine rules are of special importanc</w:t>
      </w:r>
      <w:r w:rsidR="0066478E">
        <w:t>e to our progress towards RPGs because</w:t>
      </w:r>
      <w:r w:rsidR="003A402A">
        <w:t xml:space="preserve"> they </w:t>
      </w:r>
      <w:r w:rsidR="003A402A" w:rsidRPr="002455CD">
        <w:rPr>
          <w:shd w:val="clear" w:color="auto" w:fill="FFFFFF"/>
        </w:rPr>
        <w:t xml:space="preserve">have resulted in large reductions in mobile source air pollution during the last 30 years. Improvements in vehicle and engine design, and cleaner, </w:t>
      </w:r>
      <w:r w:rsidR="00866D95">
        <w:rPr>
          <w:shd w:val="clear" w:color="auto" w:fill="FFFFFF"/>
        </w:rPr>
        <w:t xml:space="preserve">and </w:t>
      </w:r>
      <w:r w:rsidR="003A402A" w:rsidRPr="002455CD">
        <w:rPr>
          <w:shd w:val="clear" w:color="auto" w:fill="FFFFFF"/>
        </w:rPr>
        <w:t xml:space="preserve">higher-quality </w:t>
      </w:r>
      <w:r w:rsidR="007447F2" w:rsidRPr="002455CD">
        <w:rPr>
          <w:shd w:val="clear" w:color="auto" w:fill="FFFFFF"/>
        </w:rPr>
        <w:t>fuels</w:t>
      </w:r>
      <w:r w:rsidR="003A402A" w:rsidRPr="002455CD">
        <w:rPr>
          <w:shd w:val="clear" w:color="auto" w:fill="FFFFFF"/>
        </w:rPr>
        <w:t xml:space="preserve"> have reduced emissions so much that </w:t>
      </w:r>
      <w:r w:rsidR="007447F2">
        <w:rPr>
          <w:shd w:val="clear" w:color="auto" w:fill="FFFFFF"/>
        </w:rPr>
        <w:t xml:space="preserve">we expect </w:t>
      </w:r>
      <w:r w:rsidR="003A402A" w:rsidRPr="002455CD">
        <w:rPr>
          <w:shd w:val="clear" w:color="auto" w:fill="FFFFFF"/>
        </w:rPr>
        <w:t>the progress to continue, even with more miles driven and more p</w:t>
      </w:r>
      <w:r w:rsidR="003A402A">
        <w:rPr>
          <w:shd w:val="clear" w:color="auto" w:fill="FFFFFF"/>
        </w:rPr>
        <w:t>ower equipment used every year.</w:t>
      </w:r>
    </w:p>
    <w:p w14:paraId="2C8B7125" w14:textId="11B9007A" w:rsidR="008A14D0" w:rsidRPr="004578FE" w:rsidRDefault="008A14D0" w:rsidP="00BD79A1">
      <w:pPr>
        <w:pStyle w:val="Heading3"/>
      </w:pPr>
      <w:bookmarkStart w:id="5" w:name="_Toc51679881"/>
      <w:r w:rsidRPr="004578FE">
        <w:t>D</w:t>
      </w:r>
      <w:r w:rsidR="00BD79A1">
        <w:t>evelopment of Washington’s long-term s</w:t>
      </w:r>
      <w:r w:rsidRPr="004578FE">
        <w:t>trategy</w:t>
      </w:r>
      <w:bookmarkEnd w:id="5"/>
    </w:p>
    <w:p w14:paraId="7C805EF2" w14:textId="4889E20E" w:rsidR="008A14D0" w:rsidRPr="004578FE" w:rsidRDefault="008A14D0" w:rsidP="008A14D0">
      <w:pPr>
        <w:pStyle w:val="Paragraph"/>
      </w:pPr>
      <w:r w:rsidRPr="004578FE">
        <w:t>The RHR requires consultation between states on the development of coordinated emission management strategies.</w:t>
      </w:r>
      <w:r>
        <w:t xml:space="preserve"> </w:t>
      </w:r>
      <w:r w:rsidRPr="004578FE">
        <w:t>This requi</w:t>
      </w:r>
      <w:r>
        <w:t xml:space="preserve">rement applies </w:t>
      </w:r>
      <w:r w:rsidR="003C057C">
        <w:t>both to</w:t>
      </w:r>
      <w:r w:rsidR="003C057C" w:rsidRPr="004578FE">
        <w:t xml:space="preserve"> </w:t>
      </w:r>
      <w:r w:rsidR="003C057C">
        <w:t>CIAs</w:t>
      </w:r>
      <w:r w:rsidR="003C057C" w:rsidRPr="004578FE">
        <w:t xml:space="preserve"> within Washington and </w:t>
      </w:r>
      <w:r w:rsidR="003C057C">
        <w:t>to CIAs</w:t>
      </w:r>
      <w:r w:rsidRPr="004578FE">
        <w:t xml:space="preserve"> outside </w:t>
      </w:r>
      <w:r>
        <w:t xml:space="preserve">of </w:t>
      </w:r>
      <w:r w:rsidRPr="004578FE">
        <w:t>Washington where emissions from</w:t>
      </w:r>
      <w:r w:rsidRPr="004578FE" w:rsidDel="00AC7B50">
        <w:t xml:space="preserve"> </w:t>
      </w:r>
      <w:r w:rsidRPr="004578FE">
        <w:t>Washington are reasonably anticipated to contribute to visibility impairment.</w:t>
      </w:r>
    </w:p>
    <w:p w14:paraId="63C76731" w14:textId="0E981497" w:rsidR="008A14D0" w:rsidRPr="004578FE" w:rsidRDefault="00B41A7E" w:rsidP="008A14D0">
      <w:pPr>
        <w:pStyle w:val="Paragraph"/>
      </w:pPr>
      <w:r>
        <w:t>We relied on the</w:t>
      </w:r>
      <w:r w:rsidR="008A14D0" w:rsidRPr="004578FE">
        <w:t xml:space="preserve"> </w:t>
      </w:r>
      <w:r w:rsidR="008F2023">
        <w:t>Western Regional Air Partnership (</w:t>
      </w:r>
      <w:r w:rsidR="008A14D0" w:rsidRPr="004578FE">
        <w:t>WRAP</w:t>
      </w:r>
      <w:r w:rsidR="008F2023">
        <w:t>)</w:t>
      </w:r>
      <w:r>
        <w:t xml:space="preserve"> for air quality modeling and other analytical tools </w:t>
      </w:r>
      <w:r w:rsidR="0025000D">
        <w:t>to identify pollutants, the sources of those pollutants, and to predict future levels of visibility impairment</w:t>
      </w:r>
      <w:r w:rsidR="008F2023">
        <w:t>. WRAP</w:t>
      </w:r>
      <w:r w:rsidR="008A14D0" w:rsidRPr="004578FE">
        <w:t xml:space="preserve"> fostered a regionally consistent approach to haze planning in the western states and provided a sound mechanism for consultation.</w:t>
      </w:r>
      <w:r w:rsidR="008A14D0">
        <w:t xml:space="preserve"> </w:t>
      </w:r>
      <w:r w:rsidR="008A14D0" w:rsidRPr="004578FE">
        <w:t>Consultation among the 15 western states within WRAP has occurred through meetings of WRAP committees, workgroups, and forums with participation by conference calls, face-to-face meetings, and workshops.</w:t>
      </w:r>
    </w:p>
    <w:p w14:paraId="73CEB79C" w14:textId="02C77605" w:rsidR="008A14D0" w:rsidRPr="004578FE" w:rsidRDefault="008F2023" w:rsidP="008A14D0">
      <w:pPr>
        <w:pStyle w:val="Paragraph"/>
      </w:pPr>
      <w:r>
        <w:t>Through WRAP</w:t>
      </w:r>
      <w:r w:rsidR="00FD15AF">
        <w:t xml:space="preserve"> technical collaborations</w:t>
      </w:r>
      <w:r>
        <w:t>, the</w:t>
      </w:r>
      <w:r w:rsidR="008A14D0" w:rsidRPr="004578FE">
        <w:t xml:space="preserve"> western states agreed</w:t>
      </w:r>
      <w:r w:rsidR="008A14D0">
        <w:t xml:space="preserve"> upon the RPGs set for 202</w:t>
      </w:r>
      <w:r w:rsidR="008A14D0" w:rsidRPr="004578FE">
        <w:t>8 and a regionally consistent approach to addressing visibility impairment in the West.</w:t>
      </w:r>
      <w:r w:rsidR="00FD15AF">
        <w:t xml:space="preserve"> </w:t>
      </w:r>
    </w:p>
    <w:p w14:paraId="16CFF9CC" w14:textId="4AB22A8E" w:rsidR="003A402A" w:rsidRDefault="00C30024" w:rsidP="003A402A">
      <w:pPr>
        <w:pStyle w:val="Heading3"/>
      </w:pPr>
      <w:bookmarkStart w:id="6" w:name="_Toc51679882"/>
      <w:r>
        <w:t>M</w:t>
      </w:r>
      <w:r w:rsidR="003A402A">
        <w:t xml:space="preserve">ajor </w:t>
      </w:r>
      <w:r w:rsidR="008A14D0">
        <w:t xml:space="preserve">visibility-impairing </w:t>
      </w:r>
      <w:r w:rsidR="003A402A">
        <w:t>pollutants</w:t>
      </w:r>
      <w:bookmarkEnd w:id="6"/>
    </w:p>
    <w:p w14:paraId="43AEC3A7" w14:textId="4F3511E7" w:rsidR="003A402A" w:rsidRDefault="003A402A" w:rsidP="003A402A">
      <w:pPr>
        <w:pStyle w:val="Paragraph"/>
      </w:pPr>
      <w:r>
        <w:t>C</w:t>
      </w:r>
      <w:r w:rsidRPr="008B725A">
        <w:t xml:space="preserve">ontrols </w:t>
      </w:r>
      <w:r>
        <w:t xml:space="preserve">focus </w:t>
      </w:r>
      <w:r w:rsidRPr="008B725A">
        <w:t>primari</w:t>
      </w:r>
      <w:r>
        <w:t>ly on sulfates and</w:t>
      </w:r>
      <w:r w:rsidRPr="008B725A">
        <w:t xml:space="preserve"> nitrate</w:t>
      </w:r>
      <w:r>
        <w:t>s during the 2018 - 2028 implementation period</w:t>
      </w:r>
      <w:r w:rsidRPr="008B725A">
        <w:t>.</w:t>
      </w:r>
      <w:r w:rsidR="00C30024">
        <w:t xml:space="preserve"> The first or foundational RH SIP that covered 2005 to 2018 dealt with both regional haze and reasonably attributed visibility impairment (</w:t>
      </w:r>
      <w:r w:rsidR="003F5BB2">
        <w:t>RAVI). RAVI is</w:t>
      </w:r>
      <w:r w:rsidR="00C30024">
        <w:t xml:space="preserve"> visibility impairment </w:t>
      </w:r>
      <w:r w:rsidR="00FD15AF">
        <w:t xml:space="preserve">clearly </w:t>
      </w:r>
      <w:r w:rsidR="00C30024">
        <w:t xml:space="preserve">attributed to individual sources instead of </w:t>
      </w:r>
      <w:r w:rsidR="00FD15AF">
        <w:t xml:space="preserve">collective </w:t>
      </w:r>
      <w:r w:rsidR="00C30024">
        <w:t>effects from multiple sources over a large area.</w:t>
      </w:r>
    </w:p>
    <w:p w14:paraId="31F0F8A5" w14:textId="485E67C2" w:rsidR="003A402A" w:rsidRDefault="003A402A" w:rsidP="003A402A">
      <w:pPr>
        <w:pStyle w:val="Paragraph"/>
      </w:pPr>
      <w:r>
        <w:rPr>
          <w:rFonts w:eastAsia="Calibri"/>
        </w:rPr>
        <w:t>IMPROVE monitoring data shows that sulfates (primarily</w:t>
      </w:r>
      <w:r w:rsidR="008F2023">
        <w:rPr>
          <w:rFonts w:eastAsia="Calibri"/>
        </w:rPr>
        <w:t>), nitrates (</w:t>
      </w:r>
      <w:r w:rsidR="002878D9">
        <w:rPr>
          <w:rFonts w:eastAsia="Calibri"/>
        </w:rPr>
        <w:t>secondarily), and organic mass (OM</w:t>
      </w:r>
      <w:r>
        <w:rPr>
          <w:rFonts w:eastAsia="Calibri"/>
        </w:rPr>
        <w:t>) are dominant pollution species affecting visibi</w:t>
      </w:r>
      <w:r w:rsidR="008F2023">
        <w:rPr>
          <w:rFonts w:eastAsia="Calibri"/>
        </w:rPr>
        <w:t>lity in the CIAs during the MID</w:t>
      </w:r>
      <w:r>
        <w:rPr>
          <w:rFonts w:eastAsia="Calibri"/>
        </w:rPr>
        <w:t>.</w:t>
      </w:r>
      <w:r w:rsidR="002E6E21">
        <w:rPr>
          <w:rFonts w:eastAsia="Calibri"/>
        </w:rPr>
        <w:t xml:space="preserve"> See Chapter 6 for more information on monitoring.</w:t>
      </w:r>
    </w:p>
    <w:p w14:paraId="2BE30BB8" w14:textId="77777777" w:rsidR="007C57DF" w:rsidRDefault="003A402A" w:rsidP="00EA3B55">
      <w:pPr>
        <w:pStyle w:val="Heading4"/>
        <w:spacing w:before="0"/>
      </w:pPr>
      <w:bookmarkStart w:id="7" w:name="_Toc51679883"/>
      <w:r>
        <w:lastRenderedPageBreak/>
        <w:t>Sulfates</w:t>
      </w:r>
      <w:bookmarkEnd w:id="7"/>
      <w:r w:rsidR="00EA3B55">
        <w:t xml:space="preserve"> </w:t>
      </w:r>
    </w:p>
    <w:p w14:paraId="2294AE85" w14:textId="40456444" w:rsidR="003A402A" w:rsidRDefault="00EA3B55" w:rsidP="007C57DF">
      <w:pPr>
        <w:pStyle w:val="Paragraph"/>
      </w:pPr>
      <w:r>
        <w:t>(</w:t>
      </w:r>
      <w:r w:rsidRPr="00EA3B55">
        <w:rPr>
          <w:highlight w:val="yellow"/>
        </w:rPr>
        <w:t>Note – all numbers will be updated after modeling rerun</w:t>
      </w:r>
      <w:r>
        <w:rPr>
          <w:highlight w:val="yellow"/>
        </w:rPr>
        <w:t xml:space="preserve"> – we do not anticipate large changes</w:t>
      </w:r>
      <w:r w:rsidRPr="00EA3B55">
        <w:rPr>
          <w:highlight w:val="yellow"/>
        </w:rPr>
        <w:t>)</w:t>
      </w:r>
      <w:r>
        <w:t xml:space="preserve"> </w:t>
      </w:r>
    </w:p>
    <w:p w14:paraId="3CF7D76B" w14:textId="5473B0D9" w:rsidR="003A402A" w:rsidRPr="008D58AB" w:rsidRDefault="003A402A" w:rsidP="003A402A">
      <w:pPr>
        <w:pStyle w:val="Paragraph"/>
      </w:pPr>
      <w:r w:rsidRPr="008D58AB">
        <w:t xml:space="preserve">During MID, sulfate is the major pollutant contributing to total light extinction (including Rayleigh scattering) in the 2014 - 2018 period. </w:t>
      </w:r>
      <w:r>
        <w:t>Sulfate</w:t>
      </w:r>
      <w:r w:rsidRPr="008D58AB">
        <w:t xml:space="preserve"> ranges from 35 to 50</w:t>
      </w:r>
      <w:r w:rsidR="00DD0C8E">
        <w:t xml:space="preserve"> percent</w:t>
      </w:r>
      <w:r w:rsidRPr="008D58AB">
        <w:t xml:space="preserve"> of the total light extinction. In the 2028 projections, sulfate remains the major pollutant contributing to total light extinction at three of the six IMPROVE sites. Sulfate ranges from 28 to 35</w:t>
      </w:r>
      <w:r w:rsidR="00DD0C8E">
        <w:t xml:space="preserve"> percent</w:t>
      </w:r>
      <w:r w:rsidRPr="008D58AB">
        <w:t xml:space="preserve"> of total light extinction at these three sites and contributes 25</w:t>
      </w:r>
      <w:r w:rsidR="00DD0C8E">
        <w:t xml:space="preserve"> percent</w:t>
      </w:r>
      <w:r w:rsidRPr="008D58AB">
        <w:t xml:space="preserve"> to total light extinction at a fourth site.</w:t>
      </w:r>
    </w:p>
    <w:p w14:paraId="0B0FF911" w14:textId="77777777" w:rsidR="003A402A" w:rsidRDefault="003A402A" w:rsidP="003A402A">
      <w:pPr>
        <w:pStyle w:val="Heading4"/>
      </w:pPr>
      <w:bookmarkStart w:id="8" w:name="_Toc51679884"/>
      <w:r>
        <w:t>Nitrates</w:t>
      </w:r>
      <w:bookmarkEnd w:id="8"/>
    </w:p>
    <w:p w14:paraId="7ED2C8CE" w14:textId="1140689D" w:rsidR="003A402A" w:rsidRPr="008D58AB" w:rsidRDefault="003A402A" w:rsidP="003A402A">
      <w:pPr>
        <w:pStyle w:val="Paragraph"/>
      </w:pPr>
      <w:r w:rsidRPr="008D58AB">
        <w:t>Nitrate contributes approximately 9 to 26</w:t>
      </w:r>
      <w:r w:rsidR="00DD0C8E">
        <w:t xml:space="preserve"> percent</w:t>
      </w:r>
      <w:r w:rsidRPr="008D58AB">
        <w:t xml:space="preserve"> of total light extinction at IMPROVE sites in Washington in both the baseline period and in 2028 visibility projections. However, nitrate emissions from Washington have a larger and mor</w:t>
      </w:r>
      <w:r w:rsidR="00EA3B55">
        <w:t>e widespread impact on</w:t>
      </w:r>
      <w:r w:rsidRPr="008D58AB">
        <w:t xml:space="preserve"> CIAs outside the state than sulfate on both the MID and the </w:t>
      </w:r>
      <w:r>
        <w:t>c</w:t>
      </w:r>
      <w:r w:rsidR="00C30024">
        <w:t>learest d</w:t>
      </w:r>
      <w:r w:rsidRPr="008D58AB">
        <w:t>ays. Nitrate and sulfate emissions from Washington make reasonably anticipated contributions of 10</w:t>
      </w:r>
      <w:r w:rsidR="00DD0C8E">
        <w:t xml:space="preserve"> percent</w:t>
      </w:r>
      <w:r w:rsidRPr="008D58AB">
        <w:t xml:space="preserve"> or more to the total modeled concentrations </w:t>
      </w:r>
      <w:r w:rsidR="00DD0C8E" w:rsidRPr="008D58AB">
        <w:t>affecting</w:t>
      </w:r>
      <w:r w:rsidRPr="008D58AB">
        <w:t xml:space="preserve"> certain mandatory CIAs in Oregon, Idaho, and Montana.</w:t>
      </w:r>
    </w:p>
    <w:p w14:paraId="776E798C" w14:textId="630532A7" w:rsidR="003A402A" w:rsidRDefault="00EA3B55" w:rsidP="003A402A">
      <w:pPr>
        <w:pStyle w:val="Heading4"/>
      </w:pPr>
      <w:bookmarkStart w:id="9" w:name="_Toc51679885"/>
      <w:r>
        <w:t>Organic mass</w:t>
      </w:r>
      <w:bookmarkEnd w:id="9"/>
    </w:p>
    <w:p w14:paraId="6439F3A8" w14:textId="68F4EC3B" w:rsidR="003A402A" w:rsidRPr="008D58AB" w:rsidRDefault="003A402A" w:rsidP="003A402A">
      <w:pPr>
        <w:pStyle w:val="Paragraph"/>
      </w:pPr>
      <w:r w:rsidRPr="008D58AB">
        <w:t>Or</w:t>
      </w:r>
      <w:r w:rsidR="002878D9">
        <w:t>ganic mass</w:t>
      </w:r>
      <w:r w:rsidRPr="008D58AB">
        <w:t xml:space="preserve"> is an important contributor to total light extinction in two different ways with very different implications. </w:t>
      </w:r>
      <w:r w:rsidR="00575C2C">
        <w:t>Primary organic aerosols</w:t>
      </w:r>
      <w:r w:rsidR="00DD0C8E">
        <w:t xml:space="preserve"> and secondary organic compounds compose </w:t>
      </w:r>
      <w:r w:rsidRPr="008D58AB">
        <w:t>OMC</w:t>
      </w:r>
      <w:r w:rsidR="002878D9">
        <w:t xml:space="preserve"> </w:t>
      </w:r>
      <w:r w:rsidR="00D361D5">
        <w:t>measured by IMPROVE monitors</w:t>
      </w:r>
      <w:r w:rsidRPr="008D58AB">
        <w:t>.</w:t>
      </w:r>
      <w:r>
        <w:t xml:space="preserve"> Primary organic aerosols</w:t>
      </w:r>
      <w:r w:rsidRPr="008D58AB">
        <w:t xml:space="preserve"> </w:t>
      </w:r>
      <w:r>
        <w:t>(</w:t>
      </w:r>
      <w:r w:rsidRPr="008D58AB">
        <w:t>POA</w:t>
      </w:r>
      <w:r>
        <w:t>)</w:t>
      </w:r>
      <w:r w:rsidRPr="008D58AB">
        <w:t xml:space="preserve"> are directly emitted as particulates. </w:t>
      </w:r>
      <w:r w:rsidR="00DD0C8E">
        <w:t>C</w:t>
      </w:r>
      <w:r w:rsidRPr="008D58AB">
        <w:t xml:space="preserve">ondensation or photo-oxidization of </w:t>
      </w:r>
      <w:r>
        <w:t>volatile organic compounds (</w:t>
      </w:r>
      <w:r w:rsidRPr="008D58AB">
        <w:t>VOCs</w:t>
      </w:r>
      <w:r>
        <w:t>)</w:t>
      </w:r>
      <w:r w:rsidR="00DD0C8E">
        <w:t xml:space="preserve"> form secondary organic compounds</w:t>
      </w:r>
      <w:r w:rsidRPr="008D58AB">
        <w:t xml:space="preserve">. </w:t>
      </w:r>
    </w:p>
    <w:p w14:paraId="34B5E2BB" w14:textId="2EEC8CED" w:rsidR="004F74E1" w:rsidRDefault="004F74E1" w:rsidP="004F74E1">
      <w:pPr>
        <w:pStyle w:val="Paragraph"/>
      </w:pPr>
      <w:r w:rsidRPr="008D58AB">
        <w:t>O</w:t>
      </w:r>
      <w:r>
        <w:t>rganic</w:t>
      </w:r>
      <w:r w:rsidRPr="008D58AB">
        <w:t xml:space="preserve"> </w:t>
      </w:r>
      <w:r w:rsidR="002878D9">
        <w:t>mass</w:t>
      </w:r>
      <w:r>
        <w:t xml:space="preserve"> from </w:t>
      </w:r>
      <w:r w:rsidRPr="008D58AB">
        <w:t>fire is an important cont</w:t>
      </w:r>
      <w:r w:rsidR="002878D9">
        <w:t>ributor to light extinction. OM</w:t>
      </w:r>
      <w:r w:rsidRPr="008D58AB">
        <w:t xml:space="preserve"> is a significant contributor to total light extinction on the </w:t>
      </w:r>
      <w:r>
        <w:t>MID and the clearest d</w:t>
      </w:r>
      <w:r w:rsidRPr="008D58AB">
        <w:t>ays at all Washington’s monitoring sites</w:t>
      </w:r>
      <w:r>
        <w:t>.</w:t>
      </w:r>
      <w:r w:rsidRPr="008D58AB">
        <w:t xml:space="preserve"> </w:t>
      </w:r>
      <w:r w:rsidR="002878D9">
        <w:t>The OM</w:t>
      </w:r>
      <w:r>
        <w:t xml:space="preserve"> signal is notably significant on the Pasayten monitor.</w:t>
      </w:r>
    </w:p>
    <w:p w14:paraId="40C7DE93" w14:textId="77777777" w:rsidR="004F74E1" w:rsidRDefault="004F74E1" w:rsidP="004F74E1">
      <w:pPr>
        <w:pStyle w:val="Paragraph"/>
      </w:pPr>
      <w:r>
        <w:t>Modeling results show</w:t>
      </w:r>
      <w:r w:rsidRPr="008D58AB">
        <w:t xml:space="preserve"> total light extinction increased slightly</w:t>
      </w:r>
      <w:r>
        <w:t xml:space="preserve"> from the baseline to </w:t>
      </w:r>
      <w:r w:rsidRPr="008D58AB">
        <w:t>20</w:t>
      </w:r>
      <w:r>
        <w:t>1</w:t>
      </w:r>
      <w:r w:rsidRPr="008D58AB">
        <w:t>8</w:t>
      </w:r>
      <w:r>
        <w:t xml:space="preserve">, where 2018 emissions were projected using </w:t>
      </w:r>
      <w:r w:rsidRPr="008D58AB">
        <w:t xml:space="preserve">an emissions scenario </w:t>
      </w:r>
      <w:r>
        <w:t>where</w:t>
      </w:r>
      <w:r w:rsidRPr="008D58AB">
        <w:t xml:space="preserve"> fire </w:t>
      </w:r>
      <w:r>
        <w:t xml:space="preserve">emissions remained </w:t>
      </w:r>
      <w:r w:rsidRPr="008D58AB">
        <w:t>constant</w:t>
      </w:r>
      <w:r>
        <w:t>.</w:t>
      </w:r>
    </w:p>
    <w:p w14:paraId="4EB2818C" w14:textId="77777777" w:rsidR="004F74E1" w:rsidRPr="008D58AB" w:rsidRDefault="004F74E1" w:rsidP="004F74E1">
      <w:pPr>
        <w:pStyle w:val="Paragraph"/>
      </w:pPr>
      <w:r>
        <w:t xml:space="preserve">Several CIAs see contributions to visibility impairment due to smoke from fire; we note the effect of wildfire and prescribed burning, especially in data from the North Cascades National Park, Glacier Peak Wilderness, and Pasayten Wilderness areas. </w:t>
      </w:r>
    </w:p>
    <w:p w14:paraId="66B4940F" w14:textId="7EEB2708" w:rsidR="003A402A" w:rsidRPr="008D58AB" w:rsidRDefault="002878D9" w:rsidP="003A402A">
      <w:pPr>
        <w:pStyle w:val="Paragraph"/>
      </w:pPr>
      <w:r>
        <w:t>The second way OM</w:t>
      </w:r>
      <w:r w:rsidR="003A402A" w:rsidRPr="008D58AB">
        <w:t xml:space="preserve"> is an important contributor to light extinction is </w:t>
      </w:r>
      <w:r>
        <w:t>emissions from area sources. OM</w:t>
      </w:r>
      <w:r w:rsidR="003A402A" w:rsidRPr="008D58AB">
        <w:t xml:space="preserve"> caused 22 to 26</w:t>
      </w:r>
      <w:r w:rsidR="00650A0B">
        <w:t xml:space="preserve"> percent</w:t>
      </w:r>
      <w:r w:rsidR="003A402A" w:rsidRPr="008D58AB">
        <w:t xml:space="preserve"> of total light extinction in the baseline period and 25 to 28</w:t>
      </w:r>
      <w:r w:rsidR="00650A0B">
        <w:t xml:space="preserve"> percent</w:t>
      </w:r>
      <w:r w:rsidR="003A402A" w:rsidRPr="008D58AB">
        <w:t xml:space="preserve"> in 2018 visibility projections at the other 4 IMPROVE monitors. Washington’s VOC emission inventory </w:t>
      </w:r>
      <w:r w:rsidR="003A402A">
        <w:t>is much larger than the POA</w:t>
      </w:r>
      <w:r w:rsidR="003A402A" w:rsidRPr="008D58AB">
        <w:t xml:space="preserve"> inventory both in the 2000-2004 baseline period and in 2018. Area sources</w:t>
      </w:r>
      <w:r w:rsidR="00D6237E">
        <w:t xml:space="preserve"> are</w:t>
      </w:r>
      <w:r w:rsidR="003A402A" w:rsidRPr="008D58AB">
        <w:t xml:space="preserve"> the largest human-generated source category of VOCs in 2018</w:t>
      </w:r>
      <w:r w:rsidR="00D6237E">
        <w:t>.</w:t>
      </w:r>
      <w:r w:rsidR="003A402A" w:rsidRPr="008D58AB">
        <w:t xml:space="preserve"> </w:t>
      </w:r>
      <w:r w:rsidR="00D6237E">
        <w:t>E</w:t>
      </w:r>
      <w:r w:rsidR="003A402A" w:rsidRPr="008D58AB">
        <w:t>missions from solvent use and residential wood combustion</w:t>
      </w:r>
      <w:r w:rsidR="00D6237E">
        <w:t xml:space="preserve"> dominate these contributions</w:t>
      </w:r>
      <w:r w:rsidR="003A402A" w:rsidRPr="008D58AB">
        <w:t xml:space="preserve">. Both of these </w:t>
      </w:r>
      <w:r w:rsidR="003A402A" w:rsidRPr="008D58AB">
        <w:lastRenderedPageBreak/>
        <w:t xml:space="preserve">reflect the impact population growth has on the total amount of emissions. The total emissions would be even larger if there were no controls on the areas sources. </w:t>
      </w:r>
      <w:r w:rsidR="00D6237E">
        <w:t xml:space="preserve">The following sections further discuss </w:t>
      </w:r>
      <w:r w:rsidR="003A402A" w:rsidRPr="008D58AB">
        <w:t>Washington State’s program for residential wood combustion.</w:t>
      </w:r>
    </w:p>
    <w:p w14:paraId="5248927A" w14:textId="49AC2E2B" w:rsidR="008C3658" w:rsidRDefault="00EA5FC7" w:rsidP="008C3658">
      <w:pPr>
        <w:pStyle w:val="Heading3"/>
      </w:pPr>
      <w:bookmarkStart w:id="10" w:name="_Toc51679886"/>
      <w:r>
        <w:t xml:space="preserve">State, federal, and local </w:t>
      </w:r>
      <w:r w:rsidR="00AE4B3A">
        <w:t>rules</w:t>
      </w:r>
      <w:r w:rsidR="001E5F77">
        <w:t xml:space="preserve"> and</w:t>
      </w:r>
      <w:r w:rsidR="0066478E">
        <w:t xml:space="preserve"> controls</w:t>
      </w:r>
      <w:r w:rsidR="00AE4B3A">
        <w:t xml:space="preserve"> that limit emissions of visibility impairing pollutants</w:t>
      </w:r>
      <w:bookmarkEnd w:id="10"/>
    </w:p>
    <w:p w14:paraId="0F120DF0" w14:textId="150D117B" w:rsidR="0066478E" w:rsidRDefault="009C7D1C" w:rsidP="007F47CE">
      <w:pPr>
        <w:pStyle w:val="Paragraph"/>
      </w:pPr>
      <w:r w:rsidRPr="009C7D1C">
        <w:t xml:space="preserve">The LTS </w:t>
      </w:r>
      <w:r>
        <w:t>relies</w:t>
      </w:r>
      <w:r w:rsidRPr="009C7D1C">
        <w:t xml:space="preserve"> on the already adopted federal, state, and local controls on sources of visibility-impairing pollutants that are within the state’s regulatory jurisdiction that it has the ability to control. </w:t>
      </w:r>
      <w:r w:rsidR="007F47CE">
        <w:t>Ec</w:t>
      </w:r>
      <w:r w:rsidR="007F47CE" w:rsidRPr="008B725A">
        <w:t>o</w:t>
      </w:r>
      <w:r w:rsidR="007F47CE">
        <w:t xml:space="preserve">logy </w:t>
      </w:r>
      <w:r w:rsidR="0061369E">
        <w:t xml:space="preserve">actively </w:t>
      </w:r>
      <w:r w:rsidR="00997307">
        <w:t>participated with</w:t>
      </w:r>
      <w:r w:rsidR="007F47CE">
        <w:t xml:space="preserve"> </w:t>
      </w:r>
      <w:r w:rsidR="00B95889">
        <w:t>Western Regional Air Partnership (</w:t>
      </w:r>
      <w:r w:rsidR="007F47CE">
        <w:t>WRAP</w:t>
      </w:r>
      <w:r w:rsidR="00B95889">
        <w:t>)</w:t>
      </w:r>
      <w:r w:rsidR="007F47CE">
        <w:t xml:space="preserve"> </w:t>
      </w:r>
      <w:r w:rsidR="00CB4F5C">
        <w:t>during the development of this second RH SIP.</w:t>
      </w:r>
      <w:r w:rsidR="004D0212">
        <w:t xml:space="preserve"> The</w:t>
      </w:r>
      <w:r w:rsidR="00A95465">
        <w:t xml:space="preserve"> RPG</w:t>
      </w:r>
      <w:r w:rsidR="0061369E">
        <w:t>s</w:t>
      </w:r>
      <w:r w:rsidR="00A95465">
        <w:t xml:space="preserve"> and the LTS depend </w:t>
      </w:r>
      <w:r w:rsidR="00997307">
        <w:t>on</w:t>
      </w:r>
      <w:r w:rsidR="007F47CE">
        <w:t xml:space="preserve"> technical information and analyses </w:t>
      </w:r>
      <w:r w:rsidR="00163EDA">
        <w:t>by WRAP</w:t>
      </w:r>
      <w:r w:rsidR="005E13A6">
        <w:t xml:space="preserve">, </w:t>
      </w:r>
      <w:r w:rsidR="007F47CE">
        <w:t>and consultation between the states and other stakeholders.</w:t>
      </w:r>
    </w:p>
    <w:p w14:paraId="36572387" w14:textId="638F0D34" w:rsidR="0066478E" w:rsidRDefault="0066478E" w:rsidP="007F47CE">
      <w:pPr>
        <w:pStyle w:val="Paragraph"/>
      </w:pPr>
      <w:r>
        <w:t>Our LTS relies on certain regu</w:t>
      </w:r>
      <w:r w:rsidR="006C5A58">
        <w:t>latory controls of emissions. WRAP</w:t>
      </w:r>
      <w:r>
        <w:t xml:space="preserve"> identified the existing (adopted) rules and the upcoming rules and limits and incorporated the expected reductions into the calculations of expected reductions and improvements in visibility in</w:t>
      </w:r>
      <w:r w:rsidR="001E5F77">
        <w:t xml:space="preserve"> 2028 (WRAP 2028 </w:t>
      </w:r>
      <w:r w:rsidR="009C7D1C">
        <w:t>m</w:t>
      </w:r>
      <w:r>
        <w:t xml:space="preserve">odeling). </w:t>
      </w:r>
      <w:r w:rsidR="009C7D1C">
        <w:t>The 2028 modeling used enforceable regulatory mechanisms for the technical basis for this RH</w:t>
      </w:r>
      <w:r>
        <w:t xml:space="preserve"> to </w:t>
      </w:r>
      <w:r w:rsidR="006C5A58">
        <w:t>determine</w:t>
      </w:r>
      <w:r>
        <w:t xml:space="preserve"> our 2028 modeled predictions.</w:t>
      </w:r>
      <w:r w:rsidR="003A402A">
        <w:t xml:space="preserve"> </w:t>
      </w:r>
      <w:r w:rsidR="009C7D1C">
        <w:t>The modeling used the following limits.</w:t>
      </w:r>
    </w:p>
    <w:p w14:paraId="1E0DCA78" w14:textId="08B2A8E0" w:rsidR="007F47CE" w:rsidRPr="004F53FC" w:rsidRDefault="0066478E" w:rsidP="009C7D1C">
      <w:pPr>
        <w:pStyle w:val="Heading4"/>
      </w:pPr>
      <w:bookmarkStart w:id="11" w:name="_Toc51679887"/>
      <w:r>
        <w:rPr>
          <w:rStyle w:val="BulletedListChar"/>
        </w:rPr>
        <w:t>Adopted rules</w:t>
      </w:r>
      <w:r w:rsidR="00865F2F">
        <w:rPr>
          <w:rStyle w:val="BulletedListChar"/>
        </w:rPr>
        <w:t>, programs, and permits</w:t>
      </w:r>
      <w:bookmarkEnd w:id="11"/>
    </w:p>
    <w:p w14:paraId="121D1B30" w14:textId="77777777" w:rsidR="007F47CE" w:rsidRPr="007F0D7C" w:rsidRDefault="007F47CE" w:rsidP="009C7D1C">
      <w:pPr>
        <w:pStyle w:val="BulletedList"/>
      </w:pPr>
      <w:r w:rsidRPr="00397F4D">
        <w:t>Mobile source</w:t>
      </w:r>
      <w:r>
        <w:t xml:space="preserve"> controls</w:t>
      </w:r>
    </w:p>
    <w:p w14:paraId="01A8BFC2" w14:textId="72405E7C" w:rsidR="007F47CE" w:rsidRPr="00541037" w:rsidRDefault="007F47CE" w:rsidP="00865F2F">
      <w:pPr>
        <w:pStyle w:val="BulletedList"/>
        <w:numPr>
          <w:ilvl w:val="1"/>
          <w:numId w:val="5"/>
        </w:numPr>
      </w:pPr>
      <w:r w:rsidRPr="00541037">
        <w:t>Heavy Duty Diesel (2007</w:t>
      </w:r>
      <w:r w:rsidR="00FE399D">
        <w:t xml:space="preserve"> and later model year</w:t>
      </w:r>
      <w:r w:rsidRPr="00541037">
        <w:t>) Engine Standard</w:t>
      </w:r>
      <w:r w:rsidR="00FE399D">
        <w:t xml:space="preserve"> (40 CFR 86.007-11)</w:t>
      </w:r>
    </w:p>
    <w:p w14:paraId="41D1153F" w14:textId="53DA075E" w:rsidR="007F47CE" w:rsidRPr="00541037" w:rsidRDefault="00DA150D" w:rsidP="00865F2F">
      <w:pPr>
        <w:pStyle w:val="BulletedList"/>
        <w:numPr>
          <w:ilvl w:val="1"/>
          <w:numId w:val="5"/>
        </w:numPr>
      </w:pPr>
      <w:r>
        <w:t>Tier 3</w:t>
      </w:r>
      <w:r w:rsidR="007F47CE" w:rsidRPr="00541037">
        <w:t xml:space="preserve"> Tailpipe Standards</w:t>
      </w:r>
      <w:r>
        <w:t xml:space="preserve"> (2014)</w:t>
      </w:r>
      <w:r w:rsidR="006F06AC">
        <w:t xml:space="preserve">. </w:t>
      </w:r>
      <w:r>
        <w:t>Starting in 2017 it</w:t>
      </w:r>
      <w:r w:rsidR="006F06AC">
        <w:t xml:space="preserve"> reduced</w:t>
      </w:r>
      <w:r>
        <w:t xml:space="preserve"> both tailpipe and evaporative emissions from passenger cars, light-duty trucks, medium duty passenger vehicles, and some heavy-duty vehicles. </w:t>
      </w:r>
      <w:r w:rsidRPr="00DA150D">
        <w:rPr>
          <w:lang w:val="en"/>
        </w:rPr>
        <w:t>The gasoline sulfur standard will enable more stringent vehicle emissions standards and will make emissions control systems more effective</w:t>
      </w:r>
    </w:p>
    <w:p w14:paraId="0D28EC54" w14:textId="77777777" w:rsidR="007F47CE" w:rsidRPr="00541037" w:rsidRDefault="007F47CE" w:rsidP="00865F2F">
      <w:pPr>
        <w:pStyle w:val="BulletedList"/>
        <w:numPr>
          <w:ilvl w:val="1"/>
          <w:numId w:val="5"/>
        </w:numPr>
      </w:pPr>
      <w:r w:rsidRPr="00541037">
        <w:t>Large Spark Ignition and Recreational Vehicle Rule</w:t>
      </w:r>
    </w:p>
    <w:p w14:paraId="75FF1AAB" w14:textId="229003BC" w:rsidR="007F47CE" w:rsidRPr="00541037" w:rsidRDefault="007F47CE" w:rsidP="00865F2F">
      <w:pPr>
        <w:pStyle w:val="BulletedList"/>
        <w:numPr>
          <w:ilvl w:val="1"/>
          <w:numId w:val="5"/>
        </w:numPr>
      </w:pPr>
      <w:r w:rsidRPr="00541037">
        <w:t xml:space="preserve">Nonroad Diesel </w:t>
      </w:r>
      <w:r w:rsidR="00FE399D">
        <w:t xml:space="preserve">Engines </w:t>
      </w:r>
      <w:r w:rsidRPr="00541037">
        <w:t>Rule</w:t>
      </w:r>
    </w:p>
    <w:p w14:paraId="7BEA9864" w14:textId="1AB248AB" w:rsidR="006F06AC" w:rsidRDefault="007F47CE" w:rsidP="00865F2F">
      <w:pPr>
        <w:pStyle w:val="BulletedList"/>
        <w:numPr>
          <w:ilvl w:val="1"/>
          <w:numId w:val="5"/>
        </w:numPr>
      </w:pPr>
      <w:r w:rsidRPr="00541037">
        <w:t>Low sulfur</w:t>
      </w:r>
      <w:r>
        <w:t xml:space="preserve"> fuel requirements for gasoline engi</w:t>
      </w:r>
      <w:r w:rsidR="00F64177">
        <w:t>nes, on-road diesel engines, non</w:t>
      </w:r>
      <w:r>
        <w:t>road diesel engines, and locomotives</w:t>
      </w:r>
      <w:r w:rsidR="006F06AC">
        <w:t>.</w:t>
      </w:r>
    </w:p>
    <w:p w14:paraId="14E8F148" w14:textId="511D041F" w:rsidR="007F47CE" w:rsidRPr="00397F4D" w:rsidRDefault="007F47CE" w:rsidP="00865F2F">
      <w:pPr>
        <w:pStyle w:val="BulletedList"/>
      </w:pPr>
      <w:r w:rsidRPr="00397F4D">
        <w:t>Combustion Turbine and Industrial Boiler/Process Heater/R</w:t>
      </w:r>
      <w:r>
        <w:t>eciprocating Internal Combustion Engine (RICE) Maximum Achievable Control Technology (</w:t>
      </w:r>
      <w:r w:rsidRPr="00397F4D">
        <w:t>MACT</w:t>
      </w:r>
      <w:r>
        <w:t>)</w:t>
      </w:r>
      <w:r w:rsidR="006F06AC">
        <w:t xml:space="preserve"> emission.</w:t>
      </w:r>
    </w:p>
    <w:p w14:paraId="1C994909" w14:textId="77777777" w:rsidR="009757C0" w:rsidRDefault="007F47CE" w:rsidP="00865F2F">
      <w:pPr>
        <w:pStyle w:val="BulletedList"/>
      </w:pPr>
      <w:r>
        <w:t>P</w:t>
      </w:r>
      <w:r w:rsidRPr="00397F4D">
        <w:t xml:space="preserve">ermits and state/EPA consent agreements </w:t>
      </w:r>
    </w:p>
    <w:p w14:paraId="0857CBBD" w14:textId="77777777" w:rsidR="007F47CE" w:rsidRPr="0063044F" w:rsidRDefault="007F47CE" w:rsidP="006C5A58">
      <w:pPr>
        <w:pStyle w:val="BulletedList"/>
      </w:pPr>
      <w:r w:rsidRPr="0063044F">
        <w:t>Ozone and Coarse Particulate Matter (PM</w:t>
      </w:r>
      <w:r w:rsidRPr="0063044F">
        <w:rPr>
          <w:vertAlign w:val="subscript"/>
        </w:rPr>
        <w:t>10</w:t>
      </w:r>
      <w:r w:rsidRPr="0063044F">
        <w:t>) SIPs in place in the WRAP region</w:t>
      </w:r>
    </w:p>
    <w:p w14:paraId="2B2FD76C" w14:textId="77777777" w:rsidR="007F47CE" w:rsidRPr="00397F4D" w:rsidRDefault="007F47CE" w:rsidP="006C5A58">
      <w:pPr>
        <w:pStyle w:val="BulletedList"/>
      </w:pPr>
      <w:r w:rsidRPr="00397F4D">
        <w:t>State oil and gas emissions control programs</w:t>
      </w:r>
    </w:p>
    <w:p w14:paraId="066B51A5" w14:textId="2598CBD4" w:rsidR="00CF4A1B" w:rsidRDefault="00CF4A1B" w:rsidP="006C5A58">
      <w:pPr>
        <w:pStyle w:val="Paragraph"/>
      </w:pPr>
      <w:r w:rsidRPr="00CF4A1B">
        <w:lastRenderedPageBreak/>
        <w:t>Of special importance are federal fuel and engine rules f</w:t>
      </w:r>
      <w:r w:rsidR="00E5382C">
        <w:t>or on-road and non</w:t>
      </w:r>
      <w:r>
        <w:t>road engines</w:t>
      </w:r>
      <w:r w:rsidRPr="00CF4A1B">
        <w:t>. These result in large projected percent decreases in visibility-impairing emissions in Washington by 2028</w:t>
      </w:r>
      <w:r>
        <w:t>. (</w:t>
      </w:r>
      <w:r w:rsidRPr="00CF4A1B">
        <w:rPr>
          <w:highlight w:val="yellow"/>
        </w:rPr>
        <w:t>NOTE: Percentage information will be added</w:t>
      </w:r>
      <w:r>
        <w:t>).</w:t>
      </w:r>
    </w:p>
    <w:p w14:paraId="238962EE" w14:textId="5E27E5CE" w:rsidR="00266F58" w:rsidRDefault="00266F58" w:rsidP="006C5A58">
      <w:pPr>
        <w:pStyle w:val="Paragraph"/>
      </w:pPr>
      <w:r w:rsidRPr="005261EF">
        <w:t>Additional</w:t>
      </w:r>
      <w:r>
        <w:t xml:space="preserve"> federal rules</w:t>
      </w:r>
      <w:r w:rsidR="007F47CE">
        <w:t xml:space="preserve"> lead</w:t>
      </w:r>
      <w:r>
        <w:t>ing</w:t>
      </w:r>
      <w:r w:rsidR="007F47CE">
        <w:t xml:space="preserve"> to emission reductions and visibility improvement</w:t>
      </w:r>
      <w:r>
        <w:t>:</w:t>
      </w:r>
    </w:p>
    <w:p w14:paraId="54363BE6" w14:textId="68A4FA55" w:rsidR="007F47CE" w:rsidRDefault="00962074" w:rsidP="006C5A58">
      <w:pPr>
        <w:pStyle w:val="BulletedList"/>
      </w:pPr>
      <w:r>
        <w:t xml:space="preserve">Petroleum </w:t>
      </w:r>
      <w:r w:rsidR="007F47CE">
        <w:t>Refinery MACT</w:t>
      </w:r>
      <w:r>
        <w:t xml:space="preserve"> Standard</w:t>
      </w:r>
    </w:p>
    <w:p w14:paraId="3FA4B8FA" w14:textId="1AB2E0AD" w:rsidR="007F47CE" w:rsidRDefault="007F47CE" w:rsidP="006C5A58">
      <w:pPr>
        <w:pStyle w:val="BulletedList"/>
      </w:pPr>
      <w:r>
        <w:t>Boiler MACT</w:t>
      </w:r>
      <w:r w:rsidR="0065755A">
        <w:t xml:space="preserve"> Standard</w:t>
      </w:r>
    </w:p>
    <w:p w14:paraId="1F891078" w14:textId="5F329745" w:rsidR="00EA66AD" w:rsidRDefault="00EA66AD" w:rsidP="006C5A58">
      <w:pPr>
        <w:pStyle w:val="BulletedList"/>
      </w:pPr>
      <w:r>
        <w:t>Revised Utility Boiler MACT</w:t>
      </w:r>
    </w:p>
    <w:p w14:paraId="32E20B15" w14:textId="1489769F" w:rsidR="00EA66AD" w:rsidRDefault="007F47CE" w:rsidP="006C5A58">
      <w:pPr>
        <w:pStyle w:val="BulletedList"/>
      </w:pPr>
      <w:r>
        <w:t>Various area source MACTs</w:t>
      </w:r>
    </w:p>
    <w:p w14:paraId="4F5A3A00" w14:textId="77777777" w:rsidR="007F47CE" w:rsidRDefault="007F47CE" w:rsidP="006C5A58">
      <w:pPr>
        <w:pStyle w:val="BulletedList"/>
      </w:pPr>
      <w:r>
        <w:t>Stationary Spark Ignition Internal Combustion Engine Rules</w:t>
      </w:r>
    </w:p>
    <w:p w14:paraId="062ABAA1" w14:textId="479FB9EA" w:rsidR="007F47CE" w:rsidRDefault="007F47CE" w:rsidP="006C5A58">
      <w:pPr>
        <w:pStyle w:val="BulletedList"/>
      </w:pPr>
      <w:r>
        <w:t xml:space="preserve">Locomotive and Marine Diesel Emission Standards for engines with a cylinder displacement </w:t>
      </w:r>
      <w:r w:rsidR="004D4B3B">
        <w:t>of less than 30 liters</w:t>
      </w:r>
    </w:p>
    <w:p w14:paraId="30465EC6" w14:textId="77777777" w:rsidR="007F47CE" w:rsidRDefault="007F47CE" w:rsidP="006C5A58">
      <w:pPr>
        <w:pStyle w:val="BulletedList"/>
      </w:pPr>
      <w:r>
        <w:t>International Maritime Organization (IMO) rules reducing NO</w:t>
      </w:r>
      <w:r>
        <w:rPr>
          <w:vertAlign w:val="subscript"/>
        </w:rPr>
        <w:t>2</w:t>
      </w:r>
      <w:r>
        <w:t xml:space="preserve"> and SO</w:t>
      </w:r>
      <w:r>
        <w:rPr>
          <w:vertAlign w:val="subscript"/>
        </w:rPr>
        <w:t>2</w:t>
      </w:r>
      <w:r>
        <w:t xml:space="preserve"> emissions from commercial marine vessels</w:t>
      </w:r>
    </w:p>
    <w:p w14:paraId="0AE93060" w14:textId="6C465082" w:rsidR="00723394" w:rsidRDefault="007F47CE" w:rsidP="006C5A58">
      <w:pPr>
        <w:pStyle w:val="BulletedList"/>
      </w:pPr>
      <w:r>
        <w:t>Corresponding EPA rules for Category 3 Marine Diesel Engines</w:t>
      </w:r>
      <w:r w:rsidRPr="00A45DCE">
        <w:t xml:space="preserve"> </w:t>
      </w:r>
      <w:r>
        <w:t>with a cylinder displacement equal to or greater than 30 liters</w:t>
      </w:r>
    </w:p>
    <w:p w14:paraId="3C8CB226" w14:textId="48475831" w:rsidR="007F47CE" w:rsidRPr="002D339A" w:rsidRDefault="006C5A58" w:rsidP="007F47CE">
      <w:pPr>
        <w:pStyle w:val="Heading3"/>
      </w:pPr>
      <w:bookmarkStart w:id="12" w:name="_Toc51679888"/>
      <w:r>
        <w:t>C</w:t>
      </w:r>
      <w:r w:rsidR="00ED699C">
        <w:t>ontrols on v</w:t>
      </w:r>
      <w:r w:rsidR="007F47CE" w:rsidRPr="002D339A">
        <w:t>isibility-</w:t>
      </w:r>
      <w:r w:rsidR="00ED699C">
        <w:t>i</w:t>
      </w:r>
      <w:r w:rsidR="007F47CE" w:rsidRPr="002D339A">
        <w:t xml:space="preserve">mpairing </w:t>
      </w:r>
      <w:r w:rsidR="00ED699C">
        <w:t>p</w:t>
      </w:r>
      <w:r w:rsidR="007F47CE" w:rsidRPr="002D339A">
        <w:t>ollutants</w:t>
      </w:r>
      <w:r>
        <w:t xml:space="preserve"> not in previous RH SIP</w:t>
      </w:r>
      <w:bookmarkEnd w:id="12"/>
    </w:p>
    <w:p w14:paraId="409561AF" w14:textId="3E752079" w:rsidR="00EE5522" w:rsidRPr="00EE5522" w:rsidRDefault="00EE5522" w:rsidP="00EE5522">
      <w:pPr>
        <w:rPr>
          <w:rFonts w:ascii="Calibri" w:hAnsi="Calibri" w:cs="Calibri"/>
        </w:rPr>
      </w:pPr>
      <w:r w:rsidRPr="00EE5522">
        <w:rPr>
          <w:rFonts w:ascii="Calibri" w:hAnsi="Calibri" w:cs="Calibri"/>
        </w:rPr>
        <w:t>Since the last RH SIP</w:t>
      </w:r>
      <w:r w:rsidR="00874436">
        <w:rPr>
          <w:rFonts w:ascii="Calibri" w:hAnsi="Calibri" w:cs="Calibri"/>
        </w:rPr>
        <w:t>,</w:t>
      </w:r>
      <w:r w:rsidRPr="00EE5522">
        <w:rPr>
          <w:rFonts w:ascii="Calibri" w:hAnsi="Calibri" w:cs="Calibri"/>
        </w:rPr>
        <w:t xml:space="preserve"> Ecology, EPA, and </w:t>
      </w:r>
      <w:r w:rsidR="008E5D86">
        <w:rPr>
          <w:rFonts w:ascii="Calibri" w:hAnsi="Calibri" w:cs="Calibri"/>
        </w:rPr>
        <w:t xml:space="preserve">other </w:t>
      </w:r>
      <w:r w:rsidRPr="00EE5522">
        <w:rPr>
          <w:rFonts w:ascii="Calibri" w:hAnsi="Calibri" w:cs="Calibri"/>
        </w:rPr>
        <w:t>fed</w:t>
      </w:r>
      <w:r w:rsidR="008E5D86">
        <w:rPr>
          <w:rFonts w:ascii="Calibri" w:hAnsi="Calibri" w:cs="Calibri"/>
        </w:rPr>
        <w:t>eral agencies</w:t>
      </w:r>
      <w:r w:rsidRPr="00EE5522">
        <w:rPr>
          <w:rFonts w:ascii="Calibri" w:hAnsi="Calibri" w:cs="Calibri"/>
        </w:rPr>
        <w:t xml:space="preserve"> have adopted or implemented the following programs to reduce emissions from stationary and mobile sources.</w:t>
      </w:r>
    </w:p>
    <w:p w14:paraId="222F025F" w14:textId="32D00E2D" w:rsidR="00EE5522" w:rsidRPr="00EE5522" w:rsidRDefault="008E0964" w:rsidP="00446686">
      <w:pPr>
        <w:pStyle w:val="TableCaption"/>
      </w:pPr>
      <w:r>
        <w:t xml:space="preserve">Table 2. </w:t>
      </w:r>
      <w:r w:rsidR="00EE5522" w:rsidRPr="00EE5522">
        <w:t>Control Str</w:t>
      </w:r>
      <w:r w:rsidR="00331871">
        <w:t xml:space="preserve">ategies not in previous RH SIP </w:t>
      </w:r>
    </w:p>
    <w:tbl>
      <w:tblPr>
        <w:tblStyle w:val="TableGrid1"/>
        <w:tblW w:w="0" w:type="auto"/>
        <w:tblLook w:val="04A0" w:firstRow="1" w:lastRow="0" w:firstColumn="1" w:lastColumn="0" w:noHBand="0" w:noVBand="1"/>
      </w:tblPr>
      <w:tblGrid>
        <w:gridCol w:w="2929"/>
        <w:gridCol w:w="4592"/>
        <w:gridCol w:w="2045"/>
      </w:tblGrid>
      <w:tr w:rsidR="00EE5522" w:rsidRPr="00EE5522" w14:paraId="148E190C" w14:textId="77777777" w:rsidTr="00EE5522">
        <w:trPr>
          <w:trHeight w:val="288"/>
          <w:tblHeader/>
        </w:trPr>
        <w:tc>
          <w:tcPr>
            <w:tcW w:w="0" w:type="auto"/>
            <w:tcBorders>
              <w:top w:val="nil"/>
              <w:bottom w:val="nil"/>
            </w:tcBorders>
            <w:shd w:val="clear" w:color="auto" w:fill="DEEAF6"/>
            <w:vAlign w:val="bottom"/>
          </w:tcPr>
          <w:p w14:paraId="09AAE7B1" w14:textId="77777777" w:rsidR="00EE5522" w:rsidRPr="00EE5522" w:rsidRDefault="00EE5522" w:rsidP="00EE5522">
            <w:pPr>
              <w:spacing w:after="0"/>
              <w:jc w:val="center"/>
              <w:rPr>
                <w:rFonts w:ascii="Arial" w:hAnsi="Arial" w:cs="Arial"/>
                <w:b/>
                <w:bCs/>
                <w:iCs/>
                <w:sz w:val="20"/>
              </w:rPr>
            </w:pPr>
            <w:r w:rsidRPr="00EE5522">
              <w:rPr>
                <w:rFonts w:ascii="Arial" w:hAnsi="Arial" w:cs="Arial"/>
                <w:b/>
                <w:bCs/>
                <w:iCs/>
                <w:sz w:val="20"/>
              </w:rPr>
              <w:t>Regulatory</w:t>
            </w:r>
          </w:p>
          <w:p w14:paraId="7C871D48" w14:textId="77777777" w:rsidR="00EE5522" w:rsidRPr="00EE5522" w:rsidRDefault="00EE5522" w:rsidP="00EE5522">
            <w:pPr>
              <w:spacing w:after="0"/>
              <w:jc w:val="center"/>
              <w:rPr>
                <w:rFonts w:ascii="Arial" w:hAnsi="Arial" w:cs="Arial"/>
                <w:b/>
                <w:bCs/>
                <w:iCs/>
                <w:sz w:val="20"/>
              </w:rPr>
            </w:pPr>
            <w:r w:rsidRPr="00EE5522">
              <w:rPr>
                <w:rFonts w:ascii="Arial" w:hAnsi="Arial" w:cs="Arial"/>
                <w:b/>
                <w:bCs/>
                <w:iCs/>
                <w:sz w:val="20"/>
              </w:rPr>
              <w:t>Program</w:t>
            </w:r>
          </w:p>
        </w:tc>
        <w:tc>
          <w:tcPr>
            <w:tcW w:w="0" w:type="auto"/>
            <w:tcBorders>
              <w:top w:val="nil"/>
              <w:bottom w:val="nil"/>
            </w:tcBorders>
            <w:shd w:val="clear" w:color="auto" w:fill="DEEAF6"/>
            <w:vAlign w:val="bottom"/>
          </w:tcPr>
          <w:p w14:paraId="667B44E5" w14:textId="77777777" w:rsidR="00EE5522" w:rsidRPr="00EE5522" w:rsidRDefault="00EE5522" w:rsidP="00EE5522">
            <w:pPr>
              <w:spacing w:after="0"/>
              <w:jc w:val="center"/>
              <w:rPr>
                <w:rFonts w:ascii="Arial" w:hAnsi="Arial" w:cs="Arial"/>
                <w:b/>
                <w:bCs/>
                <w:iCs/>
                <w:sz w:val="20"/>
              </w:rPr>
            </w:pPr>
            <w:r w:rsidRPr="00EE5522">
              <w:rPr>
                <w:rFonts w:ascii="Arial" w:hAnsi="Arial" w:cs="Arial"/>
                <w:b/>
                <w:bCs/>
                <w:iCs/>
                <w:sz w:val="20"/>
              </w:rPr>
              <w:t>Affected</w:t>
            </w:r>
          </w:p>
          <w:p w14:paraId="220EFB35" w14:textId="77777777" w:rsidR="00EE5522" w:rsidRPr="00EE5522" w:rsidRDefault="00EE5522" w:rsidP="00EE5522">
            <w:pPr>
              <w:spacing w:after="0"/>
              <w:jc w:val="center"/>
              <w:rPr>
                <w:rFonts w:ascii="Arial" w:hAnsi="Arial" w:cs="Arial"/>
                <w:b/>
                <w:bCs/>
                <w:iCs/>
                <w:sz w:val="20"/>
              </w:rPr>
            </w:pPr>
            <w:r w:rsidRPr="00EE5522">
              <w:rPr>
                <w:rFonts w:ascii="Arial" w:hAnsi="Arial" w:cs="Arial"/>
                <w:b/>
                <w:bCs/>
                <w:iCs/>
                <w:sz w:val="20"/>
              </w:rPr>
              <w:t>Sources</w:t>
            </w:r>
          </w:p>
        </w:tc>
        <w:tc>
          <w:tcPr>
            <w:tcW w:w="0" w:type="auto"/>
            <w:tcBorders>
              <w:top w:val="nil"/>
              <w:bottom w:val="nil"/>
            </w:tcBorders>
            <w:shd w:val="clear" w:color="auto" w:fill="DEEAF6"/>
            <w:vAlign w:val="bottom"/>
          </w:tcPr>
          <w:p w14:paraId="33C7D6F4" w14:textId="77777777" w:rsidR="00EE5522" w:rsidRPr="00EE5522" w:rsidRDefault="00EE5522" w:rsidP="00EE5522">
            <w:pPr>
              <w:spacing w:after="0"/>
              <w:jc w:val="center"/>
              <w:rPr>
                <w:rFonts w:ascii="Arial" w:hAnsi="Arial" w:cs="Arial"/>
                <w:b/>
                <w:bCs/>
                <w:iCs/>
                <w:sz w:val="20"/>
              </w:rPr>
            </w:pPr>
            <w:r w:rsidRPr="00EE5522">
              <w:rPr>
                <w:rFonts w:ascii="Arial" w:hAnsi="Arial" w:cs="Arial"/>
                <w:b/>
                <w:bCs/>
                <w:iCs/>
                <w:sz w:val="20"/>
              </w:rPr>
              <w:t>Affected Visibility Impairing Air Pollutants</w:t>
            </w:r>
          </w:p>
        </w:tc>
      </w:tr>
      <w:tr w:rsidR="00EE5522" w:rsidRPr="00EE5522" w14:paraId="2A9C176E" w14:textId="77777777" w:rsidTr="00C90E11">
        <w:trPr>
          <w:trHeight w:val="288"/>
        </w:trPr>
        <w:tc>
          <w:tcPr>
            <w:tcW w:w="0" w:type="auto"/>
            <w:vAlign w:val="center"/>
          </w:tcPr>
          <w:p w14:paraId="4701EC26"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North American Maritime Emission Control Area (ECA) and MARPOL VI</w:t>
            </w:r>
          </w:p>
        </w:tc>
        <w:tc>
          <w:tcPr>
            <w:tcW w:w="0" w:type="auto"/>
            <w:vAlign w:val="center"/>
          </w:tcPr>
          <w:p w14:paraId="2FCD4C71"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Marine vessels operating within 200 nautical miles of United States and Canada’s Pacific and Atlantic Ocean coast lines</w:t>
            </w:r>
          </w:p>
        </w:tc>
        <w:tc>
          <w:tcPr>
            <w:tcW w:w="0" w:type="auto"/>
            <w:vAlign w:val="center"/>
          </w:tcPr>
          <w:p w14:paraId="71FA4E55"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SO</w:t>
            </w:r>
            <w:r w:rsidRPr="00EE5522">
              <w:rPr>
                <w:rFonts w:ascii="Arial" w:hAnsi="Arial" w:cs="Arial"/>
                <w:bCs/>
                <w:iCs/>
                <w:sz w:val="20"/>
                <w:vertAlign w:val="subscript"/>
              </w:rPr>
              <w:t>X</w:t>
            </w:r>
            <w:r w:rsidRPr="00EE5522">
              <w:rPr>
                <w:rFonts w:ascii="Arial" w:hAnsi="Arial" w:cs="Arial"/>
                <w:bCs/>
                <w:iCs/>
                <w:sz w:val="20"/>
              </w:rPr>
              <w:t>, NO</w:t>
            </w:r>
            <w:r w:rsidRPr="00EE5522">
              <w:rPr>
                <w:rFonts w:ascii="Arial" w:hAnsi="Arial" w:cs="Arial"/>
                <w:bCs/>
                <w:iCs/>
                <w:sz w:val="20"/>
                <w:vertAlign w:val="subscript"/>
              </w:rPr>
              <w:t>X</w:t>
            </w:r>
            <w:r w:rsidRPr="00EE5522">
              <w:rPr>
                <w:rFonts w:ascii="Arial" w:hAnsi="Arial" w:cs="Arial"/>
                <w:bCs/>
                <w:iCs/>
                <w:sz w:val="20"/>
              </w:rPr>
              <w:t>, PM</w:t>
            </w:r>
            <w:r w:rsidRPr="00EE5522">
              <w:rPr>
                <w:rFonts w:ascii="Arial" w:hAnsi="Arial" w:cs="Arial"/>
                <w:bCs/>
                <w:iCs/>
                <w:sz w:val="20"/>
                <w:vertAlign w:val="subscript"/>
              </w:rPr>
              <w:t>2.5</w:t>
            </w:r>
          </w:p>
        </w:tc>
      </w:tr>
      <w:tr w:rsidR="00EE5522" w:rsidRPr="00EE5522" w14:paraId="1E4A7173" w14:textId="77777777" w:rsidTr="00C90E11">
        <w:trPr>
          <w:trHeight w:val="288"/>
        </w:trPr>
        <w:tc>
          <w:tcPr>
            <w:tcW w:w="0" w:type="auto"/>
            <w:vAlign w:val="center"/>
          </w:tcPr>
          <w:p w14:paraId="413B96E0"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40 CFR Part 94 Marine Engine Requirements</w:t>
            </w:r>
          </w:p>
        </w:tc>
        <w:tc>
          <w:tcPr>
            <w:tcW w:w="0" w:type="auto"/>
            <w:vAlign w:val="center"/>
          </w:tcPr>
          <w:p w14:paraId="2617E6E5"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Marine vessels operating in US Waters.</w:t>
            </w:r>
          </w:p>
        </w:tc>
        <w:tc>
          <w:tcPr>
            <w:tcW w:w="0" w:type="auto"/>
            <w:vAlign w:val="center"/>
          </w:tcPr>
          <w:p w14:paraId="7E0198A8"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NO</w:t>
            </w:r>
            <w:r w:rsidRPr="00EE5522">
              <w:rPr>
                <w:rFonts w:ascii="Arial" w:hAnsi="Arial" w:cs="Arial"/>
                <w:bCs/>
                <w:iCs/>
                <w:sz w:val="20"/>
                <w:vertAlign w:val="subscript"/>
              </w:rPr>
              <w:t>X</w:t>
            </w:r>
            <w:r w:rsidRPr="00EE5522">
              <w:rPr>
                <w:rFonts w:ascii="Arial" w:hAnsi="Arial" w:cs="Arial"/>
                <w:bCs/>
                <w:iCs/>
                <w:sz w:val="20"/>
              </w:rPr>
              <w:t>, SO</w:t>
            </w:r>
            <w:r w:rsidRPr="00EE5522">
              <w:rPr>
                <w:rFonts w:ascii="Arial" w:hAnsi="Arial" w:cs="Arial"/>
                <w:bCs/>
                <w:iCs/>
                <w:sz w:val="20"/>
                <w:vertAlign w:val="subscript"/>
              </w:rPr>
              <w:t>X</w:t>
            </w:r>
            <w:r w:rsidRPr="00EE5522">
              <w:rPr>
                <w:rFonts w:ascii="Arial" w:hAnsi="Arial" w:cs="Arial"/>
                <w:bCs/>
                <w:iCs/>
                <w:sz w:val="20"/>
              </w:rPr>
              <w:t>, PM</w:t>
            </w:r>
            <w:r w:rsidRPr="00EE5522">
              <w:rPr>
                <w:rFonts w:ascii="Arial" w:hAnsi="Arial" w:cs="Arial"/>
                <w:bCs/>
                <w:iCs/>
                <w:sz w:val="20"/>
                <w:vertAlign w:val="subscript"/>
              </w:rPr>
              <w:t>2.5</w:t>
            </w:r>
          </w:p>
        </w:tc>
      </w:tr>
      <w:tr w:rsidR="00EE5522" w:rsidRPr="00EE5522" w14:paraId="6E4DDA4E" w14:textId="77777777" w:rsidTr="00C90E11">
        <w:trPr>
          <w:trHeight w:val="288"/>
        </w:trPr>
        <w:tc>
          <w:tcPr>
            <w:tcW w:w="0" w:type="auto"/>
            <w:vAlign w:val="center"/>
          </w:tcPr>
          <w:p w14:paraId="28EF0B8A"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Motor Vehicle CAFÉ/GHG standards</w:t>
            </w:r>
          </w:p>
        </w:tc>
        <w:tc>
          <w:tcPr>
            <w:tcW w:w="0" w:type="auto"/>
            <w:vAlign w:val="center"/>
          </w:tcPr>
          <w:p w14:paraId="759A80E6"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Light and medium duty on-road vehicles</w:t>
            </w:r>
          </w:p>
        </w:tc>
        <w:tc>
          <w:tcPr>
            <w:tcW w:w="0" w:type="auto"/>
            <w:vAlign w:val="center"/>
          </w:tcPr>
          <w:p w14:paraId="434FFA9B"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NO</w:t>
            </w:r>
            <w:r w:rsidRPr="00EE5522">
              <w:rPr>
                <w:rFonts w:ascii="Arial" w:hAnsi="Arial" w:cs="Arial"/>
                <w:bCs/>
                <w:iCs/>
                <w:sz w:val="20"/>
                <w:vertAlign w:val="subscript"/>
              </w:rPr>
              <w:t>X</w:t>
            </w:r>
            <w:r w:rsidRPr="00EE5522">
              <w:rPr>
                <w:rFonts w:ascii="Arial" w:hAnsi="Arial" w:cs="Arial"/>
                <w:bCs/>
                <w:iCs/>
                <w:sz w:val="20"/>
              </w:rPr>
              <w:t>, PM</w:t>
            </w:r>
            <w:r w:rsidRPr="00EE5522">
              <w:rPr>
                <w:rFonts w:ascii="Arial" w:hAnsi="Arial" w:cs="Arial"/>
                <w:bCs/>
                <w:iCs/>
                <w:sz w:val="20"/>
                <w:vertAlign w:val="subscript"/>
              </w:rPr>
              <w:t>2.5</w:t>
            </w:r>
          </w:p>
        </w:tc>
      </w:tr>
      <w:tr w:rsidR="00EE5522" w:rsidRPr="00EE5522" w14:paraId="5601916B" w14:textId="77777777" w:rsidTr="00C90E11">
        <w:trPr>
          <w:trHeight w:val="288"/>
        </w:trPr>
        <w:tc>
          <w:tcPr>
            <w:tcW w:w="0" w:type="auto"/>
            <w:vAlign w:val="center"/>
          </w:tcPr>
          <w:p w14:paraId="3BBCE5E9"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On-road Tier 3 diesel standards</w:t>
            </w:r>
          </w:p>
        </w:tc>
        <w:tc>
          <w:tcPr>
            <w:tcW w:w="0" w:type="auto"/>
            <w:vAlign w:val="center"/>
          </w:tcPr>
          <w:p w14:paraId="58CCF3FC"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Diesel fueled engines, especially on road vehicles</w:t>
            </w:r>
          </w:p>
        </w:tc>
        <w:tc>
          <w:tcPr>
            <w:tcW w:w="0" w:type="auto"/>
            <w:vAlign w:val="center"/>
          </w:tcPr>
          <w:p w14:paraId="49B8EA4E"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SO</w:t>
            </w:r>
            <w:r w:rsidRPr="00EE5522">
              <w:rPr>
                <w:rFonts w:ascii="Arial" w:hAnsi="Arial" w:cs="Arial"/>
                <w:bCs/>
                <w:iCs/>
                <w:sz w:val="20"/>
                <w:vertAlign w:val="subscript"/>
              </w:rPr>
              <w:t>X</w:t>
            </w:r>
            <w:r w:rsidRPr="00EE5522">
              <w:rPr>
                <w:rFonts w:ascii="Arial" w:hAnsi="Arial" w:cs="Arial"/>
                <w:bCs/>
                <w:iCs/>
                <w:sz w:val="20"/>
              </w:rPr>
              <w:t>, PM</w:t>
            </w:r>
            <w:r w:rsidRPr="00EE5522">
              <w:rPr>
                <w:rFonts w:ascii="Arial" w:hAnsi="Arial" w:cs="Arial"/>
                <w:bCs/>
                <w:iCs/>
                <w:sz w:val="20"/>
                <w:vertAlign w:val="subscript"/>
              </w:rPr>
              <w:t>2.5</w:t>
            </w:r>
          </w:p>
        </w:tc>
      </w:tr>
      <w:tr w:rsidR="00EE5522" w:rsidRPr="00EE5522" w14:paraId="1B18BE45" w14:textId="77777777" w:rsidTr="00C90E11">
        <w:trPr>
          <w:trHeight w:val="288"/>
        </w:trPr>
        <w:tc>
          <w:tcPr>
            <w:tcW w:w="0" w:type="auto"/>
            <w:vAlign w:val="center"/>
          </w:tcPr>
          <w:p w14:paraId="1534A2F8"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Utility Boiler MACT</w:t>
            </w:r>
          </w:p>
        </w:tc>
        <w:tc>
          <w:tcPr>
            <w:tcW w:w="0" w:type="auto"/>
            <w:vAlign w:val="center"/>
          </w:tcPr>
          <w:p w14:paraId="1F5CC98E"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Coal fired boilers at electric generating stations</w:t>
            </w:r>
          </w:p>
        </w:tc>
        <w:tc>
          <w:tcPr>
            <w:tcW w:w="0" w:type="auto"/>
            <w:vAlign w:val="center"/>
          </w:tcPr>
          <w:p w14:paraId="45AD0EAC"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PM</w:t>
            </w:r>
            <w:r w:rsidRPr="00EE5522">
              <w:rPr>
                <w:rFonts w:ascii="Arial" w:hAnsi="Arial" w:cs="Arial"/>
                <w:bCs/>
                <w:iCs/>
                <w:sz w:val="20"/>
                <w:vertAlign w:val="subscript"/>
              </w:rPr>
              <w:t>2.5</w:t>
            </w:r>
            <w:r w:rsidRPr="00EE5522">
              <w:rPr>
                <w:rFonts w:ascii="Arial" w:hAnsi="Arial" w:cs="Arial"/>
                <w:bCs/>
                <w:iCs/>
                <w:sz w:val="20"/>
              </w:rPr>
              <w:t>, SO</w:t>
            </w:r>
            <w:r w:rsidRPr="00EE5522">
              <w:rPr>
                <w:rFonts w:ascii="Arial" w:hAnsi="Arial" w:cs="Arial"/>
                <w:bCs/>
                <w:iCs/>
                <w:sz w:val="20"/>
                <w:vertAlign w:val="subscript"/>
              </w:rPr>
              <w:t>X</w:t>
            </w:r>
          </w:p>
        </w:tc>
      </w:tr>
      <w:tr w:rsidR="00EE5522" w:rsidRPr="00EE5522" w14:paraId="2B55BA93" w14:textId="77777777" w:rsidTr="00C90E11">
        <w:trPr>
          <w:trHeight w:val="288"/>
        </w:trPr>
        <w:tc>
          <w:tcPr>
            <w:tcW w:w="0" w:type="auto"/>
            <w:vAlign w:val="center"/>
          </w:tcPr>
          <w:p w14:paraId="1F48121E"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Large and Area Source Boiler MACTs</w:t>
            </w:r>
          </w:p>
        </w:tc>
        <w:tc>
          <w:tcPr>
            <w:tcW w:w="0" w:type="auto"/>
            <w:vAlign w:val="center"/>
          </w:tcPr>
          <w:p w14:paraId="2AEBD374"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All commercial/industrial boilers</w:t>
            </w:r>
          </w:p>
        </w:tc>
        <w:tc>
          <w:tcPr>
            <w:tcW w:w="0" w:type="auto"/>
            <w:vAlign w:val="center"/>
          </w:tcPr>
          <w:p w14:paraId="341BD8B7"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NO</w:t>
            </w:r>
            <w:r w:rsidRPr="00EE5522">
              <w:rPr>
                <w:rFonts w:ascii="Arial" w:hAnsi="Arial" w:cs="Arial"/>
                <w:bCs/>
                <w:iCs/>
                <w:sz w:val="20"/>
                <w:vertAlign w:val="subscript"/>
              </w:rPr>
              <w:t>X</w:t>
            </w:r>
            <w:r w:rsidRPr="00EE5522">
              <w:rPr>
                <w:rFonts w:ascii="Arial" w:hAnsi="Arial" w:cs="Arial"/>
                <w:bCs/>
                <w:iCs/>
                <w:sz w:val="20"/>
              </w:rPr>
              <w:t>, PM</w:t>
            </w:r>
            <w:r w:rsidRPr="00EE5522">
              <w:rPr>
                <w:rFonts w:ascii="Arial" w:hAnsi="Arial" w:cs="Arial"/>
                <w:bCs/>
                <w:iCs/>
                <w:sz w:val="20"/>
                <w:vertAlign w:val="subscript"/>
              </w:rPr>
              <w:t>2.5</w:t>
            </w:r>
            <w:r w:rsidRPr="00EE5522">
              <w:rPr>
                <w:rFonts w:ascii="Arial" w:hAnsi="Arial" w:cs="Arial"/>
                <w:bCs/>
                <w:iCs/>
                <w:sz w:val="20"/>
              </w:rPr>
              <w:t>, SO</w:t>
            </w:r>
            <w:r w:rsidRPr="00EE5522">
              <w:rPr>
                <w:rFonts w:ascii="Arial" w:hAnsi="Arial" w:cs="Arial"/>
                <w:bCs/>
                <w:iCs/>
                <w:sz w:val="20"/>
                <w:vertAlign w:val="subscript"/>
              </w:rPr>
              <w:t>X</w:t>
            </w:r>
          </w:p>
        </w:tc>
      </w:tr>
      <w:tr w:rsidR="00EE5522" w:rsidRPr="00EE5522" w14:paraId="58BD9D31" w14:textId="77777777" w:rsidTr="00C90E11">
        <w:trPr>
          <w:trHeight w:val="288"/>
        </w:trPr>
        <w:tc>
          <w:tcPr>
            <w:tcW w:w="0" w:type="auto"/>
            <w:vAlign w:val="center"/>
          </w:tcPr>
          <w:p w14:paraId="12E367EE"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CISWI NSPS</w:t>
            </w:r>
          </w:p>
        </w:tc>
        <w:tc>
          <w:tcPr>
            <w:tcW w:w="0" w:type="auto"/>
            <w:vAlign w:val="center"/>
          </w:tcPr>
          <w:p w14:paraId="3916D6B9"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Industrial/commercial boilers burning designated solid wastes</w:t>
            </w:r>
          </w:p>
        </w:tc>
        <w:tc>
          <w:tcPr>
            <w:tcW w:w="0" w:type="auto"/>
            <w:vAlign w:val="center"/>
          </w:tcPr>
          <w:p w14:paraId="3C385910"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NO</w:t>
            </w:r>
            <w:r w:rsidRPr="00EE5522">
              <w:rPr>
                <w:rFonts w:ascii="Arial" w:hAnsi="Arial" w:cs="Arial"/>
                <w:bCs/>
                <w:iCs/>
                <w:sz w:val="20"/>
                <w:vertAlign w:val="subscript"/>
              </w:rPr>
              <w:t>X</w:t>
            </w:r>
            <w:r w:rsidRPr="00EE5522">
              <w:rPr>
                <w:rFonts w:ascii="Arial" w:hAnsi="Arial" w:cs="Arial"/>
                <w:bCs/>
                <w:iCs/>
                <w:sz w:val="20"/>
              </w:rPr>
              <w:t>, PM</w:t>
            </w:r>
            <w:r w:rsidRPr="00EE5522">
              <w:rPr>
                <w:rFonts w:ascii="Arial" w:hAnsi="Arial" w:cs="Arial"/>
                <w:bCs/>
                <w:iCs/>
                <w:sz w:val="20"/>
                <w:vertAlign w:val="subscript"/>
              </w:rPr>
              <w:t>2.5</w:t>
            </w:r>
            <w:r w:rsidRPr="00EE5522">
              <w:rPr>
                <w:rFonts w:ascii="Arial" w:hAnsi="Arial" w:cs="Arial"/>
                <w:bCs/>
                <w:iCs/>
                <w:sz w:val="20"/>
              </w:rPr>
              <w:t>, SO</w:t>
            </w:r>
            <w:r w:rsidRPr="00EE5522">
              <w:rPr>
                <w:rFonts w:ascii="Arial" w:hAnsi="Arial" w:cs="Arial"/>
                <w:bCs/>
                <w:iCs/>
                <w:sz w:val="20"/>
                <w:vertAlign w:val="subscript"/>
              </w:rPr>
              <w:t>X</w:t>
            </w:r>
          </w:p>
        </w:tc>
      </w:tr>
      <w:tr w:rsidR="00EE5522" w:rsidRPr="00EE5522" w14:paraId="5DECA3F9" w14:textId="77777777" w:rsidTr="00C90E11">
        <w:trPr>
          <w:trHeight w:val="288"/>
        </w:trPr>
        <w:tc>
          <w:tcPr>
            <w:tcW w:w="0" w:type="auto"/>
            <w:vAlign w:val="center"/>
          </w:tcPr>
          <w:p w14:paraId="7D444D98"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lastRenderedPageBreak/>
              <w:t>SSI NSPS</w:t>
            </w:r>
          </w:p>
        </w:tc>
        <w:tc>
          <w:tcPr>
            <w:tcW w:w="0" w:type="auto"/>
            <w:vAlign w:val="center"/>
          </w:tcPr>
          <w:p w14:paraId="4061B688"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Sewage sludge incinerators</w:t>
            </w:r>
          </w:p>
        </w:tc>
        <w:tc>
          <w:tcPr>
            <w:tcW w:w="0" w:type="auto"/>
            <w:vAlign w:val="center"/>
          </w:tcPr>
          <w:p w14:paraId="7FA4520C"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NO</w:t>
            </w:r>
            <w:r w:rsidRPr="00EE5522">
              <w:rPr>
                <w:rFonts w:ascii="Arial" w:hAnsi="Arial" w:cs="Arial"/>
                <w:bCs/>
                <w:iCs/>
                <w:sz w:val="20"/>
                <w:vertAlign w:val="subscript"/>
              </w:rPr>
              <w:t>X</w:t>
            </w:r>
            <w:r w:rsidRPr="00EE5522">
              <w:rPr>
                <w:rFonts w:ascii="Arial" w:hAnsi="Arial" w:cs="Arial"/>
                <w:bCs/>
                <w:iCs/>
                <w:sz w:val="20"/>
              </w:rPr>
              <w:t>, PM</w:t>
            </w:r>
            <w:r w:rsidRPr="00EE5522">
              <w:rPr>
                <w:rFonts w:ascii="Arial" w:hAnsi="Arial" w:cs="Arial"/>
                <w:bCs/>
                <w:iCs/>
                <w:sz w:val="20"/>
                <w:vertAlign w:val="subscript"/>
              </w:rPr>
              <w:t>2.5</w:t>
            </w:r>
          </w:p>
        </w:tc>
      </w:tr>
      <w:tr w:rsidR="00EE5522" w:rsidRPr="00EE5522" w14:paraId="22979ACF" w14:textId="77777777" w:rsidTr="00C90E11">
        <w:trPr>
          <w:trHeight w:val="288"/>
        </w:trPr>
        <w:tc>
          <w:tcPr>
            <w:tcW w:w="0" w:type="auto"/>
            <w:vAlign w:val="center"/>
          </w:tcPr>
          <w:p w14:paraId="0070DE1C" w14:textId="0B74F49E" w:rsidR="00EE5522" w:rsidRPr="00EE5522" w:rsidRDefault="00EE5522" w:rsidP="00EC0133">
            <w:pPr>
              <w:spacing w:after="0"/>
              <w:rPr>
                <w:rFonts w:ascii="Arial" w:hAnsi="Arial" w:cs="Arial"/>
                <w:bCs/>
                <w:iCs/>
                <w:sz w:val="20"/>
              </w:rPr>
            </w:pPr>
            <w:r w:rsidRPr="00EE5522">
              <w:rPr>
                <w:rFonts w:ascii="Arial" w:hAnsi="Arial" w:cs="Arial"/>
                <w:bCs/>
                <w:iCs/>
                <w:sz w:val="20"/>
              </w:rPr>
              <w:t>Revised Petroleum Refinery NSPS</w:t>
            </w:r>
            <w:r w:rsidR="00EC0133">
              <w:rPr>
                <w:rFonts w:ascii="Arial" w:hAnsi="Arial" w:cs="Arial"/>
                <w:bCs/>
                <w:iCs/>
                <w:sz w:val="20"/>
              </w:rPr>
              <w:t xml:space="preserve"> </w:t>
            </w:r>
            <w:r w:rsidRPr="00EE5522">
              <w:rPr>
                <w:rFonts w:ascii="Arial" w:hAnsi="Arial" w:cs="Arial"/>
                <w:bCs/>
                <w:iCs/>
                <w:sz w:val="20"/>
              </w:rPr>
              <w:t>and MACT requirements</w:t>
            </w:r>
          </w:p>
        </w:tc>
        <w:tc>
          <w:tcPr>
            <w:tcW w:w="0" w:type="auto"/>
            <w:vAlign w:val="center"/>
          </w:tcPr>
          <w:p w14:paraId="0505947E"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Petroleum refineries, very large petroleum storage tanks</w:t>
            </w:r>
          </w:p>
        </w:tc>
        <w:tc>
          <w:tcPr>
            <w:tcW w:w="0" w:type="auto"/>
            <w:vAlign w:val="center"/>
          </w:tcPr>
          <w:p w14:paraId="421E61B8"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VOC, PM</w:t>
            </w:r>
            <w:r w:rsidRPr="00EE5522">
              <w:rPr>
                <w:rFonts w:ascii="Arial" w:hAnsi="Arial" w:cs="Arial"/>
                <w:bCs/>
                <w:iCs/>
                <w:sz w:val="20"/>
                <w:vertAlign w:val="subscript"/>
              </w:rPr>
              <w:t>2.5</w:t>
            </w:r>
          </w:p>
        </w:tc>
      </w:tr>
      <w:tr w:rsidR="00EE5522" w:rsidRPr="00EE5522" w14:paraId="0DB20C94" w14:textId="77777777" w:rsidTr="00C90E11">
        <w:trPr>
          <w:trHeight w:val="288"/>
        </w:trPr>
        <w:tc>
          <w:tcPr>
            <w:tcW w:w="0" w:type="auto"/>
            <w:vAlign w:val="center"/>
          </w:tcPr>
          <w:p w14:paraId="2D1AABF3"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2010 NO</w:t>
            </w:r>
            <w:r w:rsidRPr="00EE5522">
              <w:rPr>
                <w:rFonts w:ascii="Arial" w:hAnsi="Arial" w:cs="Arial"/>
                <w:bCs/>
                <w:iCs/>
                <w:sz w:val="20"/>
                <w:vertAlign w:val="subscript"/>
              </w:rPr>
              <w:t>X</w:t>
            </w:r>
            <w:r w:rsidRPr="00EE5522">
              <w:rPr>
                <w:rFonts w:ascii="Arial" w:hAnsi="Arial" w:cs="Arial"/>
                <w:bCs/>
                <w:iCs/>
                <w:sz w:val="20"/>
              </w:rPr>
              <w:t xml:space="preserve"> NAAQS</w:t>
            </w:r>
          </w:p>
        </w:tc>
        <w:tc>
          <w:tcPr>
            <w:tcW w:w="0" w:type="auto"/>
            <w:vAlign w:val="center"/>
          </w:tcPr>
          <w:p w14:paraId="73435E51"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Combustion sources</w:t>
            </w:r>
          </w:p>
        </w:tc>
        <w:tc>
          <w:tcPr>
            <w:tcW w:w="0" w:type="auto"/>
            <w:vAlign w:val="center"/>
          </w:tcPr>
          <w:p w14:paraId="7A864FD8"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NO</w:t>
            </w:r>
            <w:r w:rsidRPr="00EE5522">
              <w:rPr>
                <w:rFonts w:ascii="Arial" w:hAnsi="Arial" w:cs="Arial"/>
                <w:bCs/>
                <w:iCs/>
                <w:sz w:val="20"/>
                <w:vertAlign w:val="subscript"/>
              </w:rPr>
              <w:t>X</w:t>
            </w:r>
          </w:p>
        </w:tc>
      </w:tr>
      <w:tr w:rsidR="00EE5522" w:rsidRPr="00EE5522" w14:paraId="5FE4223B" w14:textId="77777777" w:rsidTr="00C90E11">
        <w:trPr>
          <w:trHeight w:val="288"/>
        </w:trPr>
        <w:tc>
          <w:tcPr>
            <w:tcW w:w="0" w:type="auto"/>
            <w:vAlign w:val="center"/>
          </w:tcPr>
          <w:p w14:paraId="02994E08"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2010 SO</w:t>
            </w:r>
            <w:r w:rsidRPr="00EE5522">
              <w:rPr>
                <w:rFonts w:ascii="Arial" w:hAnsi="Arial" w:cs="Arial"/>
                <w:bCs/>
                <w:iCs/>
                <w:sz w:val="20"/>
                <w:vertAlign w:val="subscript"/>
              </w:rPr>
              <w:t>X</w:t>
            </w:r>
            <w:r w:rsidRPr="00EE5522">
              <w:rPr>
                <w:rFonts w:ascii="Arial" w:hAnsi="Arial" w:cs="Arial"/>
                <w:bCs/>
                <w:iCs/>
                <w:sz w:val="20"/>
              </w:rPr>
              <w:t xml:space="preserve"> NAAQS</w:t>
            </w:r>
          </w:p>
        </w:tc>
        <w:tc>
          <w:tcPr>
            <w:tcW w:w="0" w:type="auto"/>
            <w:vAlign w:val="center"/>
          </w:tcPr>
          <w:p w14:paraId="4E53283A"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Combustion sources</w:t>
            </w:r>
          </w:p>
        </w:tc>
        <w:tc>
          <w:tcPr>
            <w:tcW w:w="0" w:type="auto"/>
            <w:vAlign w:val="center"/>
          </w:tcPr>
          <w:p w14:paraId="673B1010"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SO</w:t>
            </w:r>
            <w:r w:rsidRPr="00EE5522">
              <w:rPr>
                <w:rFonts w:ascii="Arial" w:hAnsi="Arial" w:cs="Arial"/>
                <w:bCs/>
                <w:iCs/>
                <w:sz w:val="20"/>
                <w:vertAlign w:val="subscript"/>
              </w:rPr>
              <w:t>X</w:t>
            </w:r>
          </w:p>
        </w:tc>
      </w:tr>
      <w:tr w:rsidR="00EE5522" w:rsidRPr="00EE5522" w14:paraId="0801EA8D" w14:textId="77777777" w:rsidTr="00C90E11">
        <w:trPr>
          <w:trHeight w:val="288"/>
        </w:trPr>
        <w:tc>
          <w:tcPr>
            <w:tcW w:w="0" w:type="auto"/>
            <w:vAlign w:val="center"/>
          </w:tcPr>
          <w:p w14:paraId="4E022B44"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2013 PM</w:t>
            </w:r>
            <w:r w:rsidRPr="00EE5522">
              <w:rPr>
                <w:rFonts w:ascii="Arial" w:hAnsi="Arial" w:cs="Arial"/>
                <w:bCs/>
                <w:iCs/>
                <w:sz w:val="20"/>
                <w:vertAlign w:val="subscript"/>
              </w:rPr>
              <w:t>2.5</w:t>
            </w:r>
            <w:r w:rsidRPr="00EE5522">
              <w:rPr>
                <w:rFonts w:ascii="Arial" w:hAnsi="Arial" w:cs="Arial"/>
                <w:bCs/>
                <w:iCs/>
                <w:sz w:val="20"/>
              </w:rPr>
              <w:t xml:space="preserve"> NAAQS</w:t>
            </w:r>
          </w:p>
        </w:tc>
        <w:tc>
          <w:tcPr>
            <w:tcW w:w="0" w:type="auto"/>
            <w:vAlign w:val="center"/>
          </w:tcPr>
          <w:p w14:paraId="4442B6E1"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Combustion, area, and industrial sources</w:t>
            </w:r>
          </w:p>
        </w:tc>
        <w:tc>
          <w:tcPr>
            <w:tcW w:w="0" w:type="auto"/>
            <w:vAlign w:val="center"/>
          </w:tcPr>
          <w:p w14:paraId="4E6EB426"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PM, PM</w:t>
            </w:r>
            <w:r w:rsidRPr="00EE5522">
              <w:rPr>
                <w:rFonts w:ascii="Arial" w:hAnsi="Arial" w:cs="Arial"/>
                <w:bCs/>
                <w:iCs/>
                <w:sz w:val="20"/>
                <w:vertAlign w:val="subscript"/>
              </w:rPr>
              <w:t>10</w:t>
            </w:r>
            <w:r w:rsidRPr="00EE5522">
              <w:rPr>
                <w:rFonts w:ascii="Arial" w:hAnsi="Arial" w:cs="Arial"/>
                <w:bCs/>
                <w:iCs/>
                <w:sz w:val="20"/>
              </w:rPr>
              <w:t>, PM</w:t>
            </w:r>
            <w:r w:rsidRPr="00EE5522">
              <w:rPr>
                <w:rFonts w:ascii="Arial" w:hAnsi="Arial" w:cs="Arial"/>
                <w:bCs/>
                <w:iCs/>
                <w:sz w:val="20"/>
                <w:vertAlign w:val="subscript"/>
              </w:rPr>
              <w:t>2.5</w:t>
            </w:r>
          </w:p>
        </w:tc>
      </w:tr>
      <w:tr w:rsidR="00EE5522" w:rsidRPr="00EE5522" w14:paraId="6DBB2250" w14:textId="77777777" w:rsidTr="00C90E11">
        <w:trPr>
          <w:trHeight w:val="288"/>
        </w:trPr>
        <w:tc>
          <w:tcPr>
            <w:tcW w:w="0" w:type="auto"/>
            <w:vAlign w:val="center"/>
          </w:tcPr>
          <w:p w14:paraId="4C8FE768"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2015 Ozone NAAQS</w:t>
            </w:r>
          </w:p>
        </w:tc>
        <w:tc>
          <w:tcPr>
            <w:tcW w:w="0" w:type="auto"/>
            <w:vAlign w:val="center"/>
          </w:tcPr>
          <w:p w14:paraId="47AD65DC"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All sources</w:t>
            </w:r>
          </w:p>
        </w:tc>
        <w:tc>
          <w:tcPr>
            <w:tcW w:w="0" w:type="auto"/>
            <w:vAlign w:val="center"/>
          </w:tcPr>
          <w:p w14:paraId="62298408" w14:textId="77777777" w:rsidR="00EE5522" w:rsidRPr="00EE5522" w:rsidRDefault="00EE5522" w:rsidP="00EE5522">
            <w:pPr>
              <w:spacing w:after="0"/>
              <w:rPr>
                <w:rFonts w:ascii="Arial" w:hAnsi="Arial" w:cs="Arial"/>
                <w:bCs/>
                <w:iCs/>
                <w:sz w:val="20"/>
              </w:rPr>
            </w:pPr>
            <w:r w:rsidRPr="00EE5522">
              <w:rPr>
                <w:rFonts w:ascii="Arial" w:hAnsi="Arial" w:cs="Arial"/>
                <w:bCs/>
                <w:iCs/>
                <w:sz w:val="20"/>
              </w:rPr>
              <w:t>VOC (organic carbon), NO</w:t>
            </w:r>
            <w:r w:rsidRPr="00EE5522">
              <w:rPr>
                <w:rFonts w:ascii="Arial" w:hAnsi="Arial" w:cs="Arial"/>
                <w:bCs/>
                <w:iCs/>
                <w:sz w:val="20"/>
                <w:vertAlign w:val="subscript"/>
              </w:rPr>
              <w:t>X</w:t>
            </w:r>
          </w:p>
        </w:tc>
      </w:tr>
    </w:tbl>
    <w:p w14:paraId="3F20371F" w14:textId="77777777" w:rsidR="00EE5522" w:rsidRPr="00EE5522" w:rsidRDefault="00EE5522" w:rsidP="00EE5522">
      <w:pPr>
        <w:spacing w:after="0"/>
        <w:rPr>
          <w:rFonts w:ascii="Calibri" w:hAnsi="Calibri" w:cs="Calibri"/>
        </w:rPr>
      </w:pPr>
    </w:p>
    <w:p w14:paraId="6176E28F" w14:textId="75A0B1FA" w:rsidR="008C78BA" w:rsidRDefault="00175B28" w:rsidP="00EE5522">
      <w:pPr>
        <w:rPr>
          <w:rFonts w:asciiTheme="minorHAnsi" w:hAnsiTheme="minorHAnsi" w:cstheme="minorHAnsi"/>
        </w:rPr>
      </w:pPr>
      <w:r>
        <w:rPr>
          <w:rFonts w:asciiTheme="minorHAnsi" w:hAnsiTheme="minorHAnsi" w:cstheme="minorHAnsi"/>
        </w:rPr>
        <w:t>T</w:t>
      </w:r>
      <w:r w:rsidR="00EE5522">
        <w:rPr>
          <w:rFonts w:asciiTheme="minorHAnsi" w:hAnsiTheme="minorHAnsi" w:cstheme="minorHAnsi"/>
        </w:rPr>
        <w:t>he most current emission inventory</w:t>
      </w:r>
      <w:r>
        <w:rPr>
          <w:rFonts w:asciiTheme="minorHAnsi" w:hAnsiTheme="minorHAnsi" w:cstheme="minorHAnsi"/>
        </w:rPr>
        <w:t xml:space="preserve"> reflects the effects of many of these rules</w:t>
      </w:r>
      <w:r w:rsidR="00EE5522">
        <w:rPr>
          <w:rFonts w:asciiTheme="minorHAnsi" w:hAnsiTheme="minorHAnsi" w:cstheme="minorHAnsi"/>
        </w:rPr>
        <w:t xml:space="preserve">. </w:t>
      </w:r>
      <w:r w:rsidR="00EE5522" w:rsidRPr="00450A65">
        <w:rPr>
          <w:rFonts w:asciiTheme="minorHAnsi" w:hAnsiTheme="minorHAnsi" w:cstheme="minorHAnsi"/>
        </w:rPr>
        <w:t>Specific programs not included in the</w:t>
      </w:r>
      <w:r w:rsidR="00EE5522">
        <w:rPr>
          <w:rFonts w:asciiTheme="minorHAnsi" w:hAnsiTheme="minorHAnsi" w:cstheme="minorHAnsi"/>
        </w:rPr>
        <w:t xml:space="preserve"> previous</w:t>
      </w:r>
      <w:r w:rsidR="00EE5522" w:rsidRPr="00450A65">
        <w:rPr>
          <w:rFonts w:asciiTheme="minorHAnsi" w:hAnsiTheme="minorHAnsi" w:cstheme="minorHAnsi"/>
        </w:rPr>
        <w:t xml:space="preserve"> inventory are</w:t>
      </w:r>
      <w:r w:rsidR="008C78BA">
        <w:rPr>
          <w:rFonts w:asciiTheme="minorHAnsi" w:hAnsiTheme="minorHAnsi" w:cstheme="minorHAnsi"/>
        </w:rPr>
        <w:t>:</w:t>
      </w:r>
      <w:r w:rsidR="00EE5522" w:rsidRPr="00450A65">
        <w:rPr>
          <w:rFonts w:asciiTheme="minorHAnsi" w:hAnsiTheme="minorHAnsi" w:cstheme="minorHAnsi"/>
        </w:rPr>
        <w:t xml:space="preserve"> </w:t>
      </w:r>
    </w:p>
    <w:p w14:paraId="7BFE07A6" w14:textId="424958C2" w:rsidR="008C78BA" w:rsidRDefault="00EE5522" w:rsidP="0065559A">
      <w:pPr>
        <w:pStyle w:val="ListParagraph"/>
        <w:numPr>
          <w:ilvl w:val="0"/>
          <w:numId w:val="26"/>
        </w:numPr>
        <w:rPr>
          <w:rFonts w:asciiTheme="minorHAnsi" w:hAnsiTheme="minorHAnsi" w:cstheme="minorHAnsi"/>
        </w:rPr>
      </w:pPr>
      <w:r w:rsidRPr="0065559A">
        <w:rPr>
          <w:rFonts w:asciiTheme="minorHAnsi" w:hAnsiTheme="minorHAnsi" w:cstheme="minorHAnsi"/>
        </w:rPr>
        <w:t xml:space="preserve">MARPOL V </w:t>
      </w:r>
    </w:p>
    <w:p w14:paraId="020EAD0D" w14:textId="237D9658" w:rsidR="008C78BA" w:rsidRDefault="008C78BA" w:rsidP="0065559A">
      <w:pPr>
        <w:pStyle w:val="ListParagraph"/>
        <w:numPr>
          <w:ilvl w:val="0"/>
          <w:numId w:val="26"/>
        </w:numPr>
        <w:rPr>
          <w:rFonts w:asciiTheme="minorHAnsi" w:hAnsiTheme="minorHAnsi" w:cstheme="minorHAnsi"/>
        </w:rPr>
      </w:pPr>
      <w:r>
        <w:rPr>
          <w:rFonts w:asciiTheme="minorHAnsi" w:hAnsiTheme="minorHAnsi" w:cstheme="minorHAnsi"/>
        </w:rPr>
        <w:t>The</w:t>
      </w:r>
      <w:r w:rsidR="00EE5522" w:rsidRPr="0065559A">
        <w:rPr>
          <w:rFonts w:asciiTheme="minorHAnsi" w:hAnsiTheme="minorHAnsi" w:cstheme="minorHAnsi"/>
        </w:rPr>
        <w:t xml:space="preserve"> North American Emission Control Area (ECA) for marine vessels </w:t>
      </w:r>
    </w:p>
    <w:p w14:paraId="6113289A" w14:textId="35527221" w:rsidR="008C78BA" w:rsidRDefault="008C78BA" w:rsidP="0065559A">
      <w:pPr>
        <w:pStyle w:val="ListParagraph"/>
        <w:numPr>
          <w:ilvl w:val="0"/>
          <w:numId w:val="26"/>
        </w:numPr>
        <w:rPr>
          <w:rFonts w:asciiTheme="minorHAnsi" w:hAnsiTheme="minorHAnsi" w:cstheme="minorHAnsi"/>
        </w:rPr>
      </w:pPr>
      <w:r>
        <w:rPr>
          <w:rFonts w:asciiTheme="minorHAnsi" w:hAnsiTheme="minorHAnsi" w:cstheme="minorHAnsi"/>
        </w:rPr>
        <w:t>T</w:t>
      </w:r>
      <w:r w:rsidR="00EE5522" w:rsidRPr="0065559A">
        <w:rPr>
          <w:rFonts w:asciiTheme="minorHAnsi" w:hAnsiTheme="minorHAnsi" w:cstheme="minorHAnsi"/>
        </w:rPr>
        <w:t xml:space="preserve">he marine vessel fuel sulfur standard </w:t>
      </w:r>
    </w:p>
    <w:p w14:paraId="65A8A605" w14:textId="020AFE77" w:rsidR="001A2B75" w:rsidRPr="0065559A" w:rsidRDefault="00EE5522" w:rsidP="0065559A">
      <w:pPr>
        <w:pStyle w:val="ListParagraph"/>
        <w:numPr>
          <w:ilvl w:val="0"/>
          <w:numId w:val="26"/>
        </w:numPr>
        <w:rPr>
          <w:rFonts w:asciiTheme="minorHAnsi" w:hAnsiTheme="minorHAnsi" w:cstheme="minorHAnsi"/>
        </w:rPr>
      </w:pPr>
      <w:r w:rsidRPr="0065559A">
        <w:rPr>
          <w:rFonts w:asciiTheme="minorHAnsi" w:hAnsiTheme="minorHAnsi" w:cstheme="minorHAnsi"/>
        </w:rPr>
        <w:t xml:space="preserve">NAAQS </w:t>
      </w:r>
      <w:r w:rsidR="008C78BA">
        <w:rPr>
          <w:rFonts w:asciiTheme="minorHAnsi" w:hAnsiTheme="minorHAnsi" w:cstheme="minorHAnsi"/>
        </w:rPr>
        <w:t>revisions</w:t>
      </w:r>
      <w:r w:rsidR="00FF2522" w:rsidRPr="0065559A">
        <w:rPr>
          <w:rFonts w:asciiTheme="minorHAnsi" w:hAnsiTheme="minorHAnsi" w:cstheme="minorHAnsi"/>
        </w:rPr>
        <w:t xml:space="preserve"> since 2007</w:t>
      </w:r>
    </w:p>
    <w:p w14:paraId="2431CDC5" w14:textId="62FB2B30" w:rsidR="001A2B75" w:rsidRDefault="00EE5522" w:rsidP="00EE5522">
      <w:pPr>
        <w:rPr>
          <w:rFonts w:asciiTheme="minorHAnsi" w:hAnsiTheme="minorHAnsi" w:cstheme="minorHAnsi"/>
        </w:rPr>
      </w:pPr>
      <w:r w:rsidRPr="00450A65">
        <w:rPr>
          <w:rFonts w:asciiTheme="minorHAnsi" w:hAnsiTheme="minorHAnsi" w:cstheme="minorHAnsi"/>
        </w:rPr>
        <w:t>Starting in August 2012, the ECA required marine vessels within 200 nautical miles of the North American coast to use fuels with no more than 1</w:t>
      </w:r>
      <w:r w:rsidR="00E5382C">
        <w:rPr>
          <w:rFonts w:asciiTheme="minorHAnsi" w:hAnsiTheme="minorHAnsi" w:cstheme="minorHAnsi"/>
        </w:rPr>
        <w:t xml:space="preserve"> percent</w:t>
      </w:r>
      <w:r w:rsidRPr="00450A65">
        <w:rPr>
          <w:rFonts w:asciiTheme="minorHAnsi" w:hAnsiTheme="minorHAnsi" w:cstheme="minorHAnsi"/>
        </w:rPr>
        <w:t xml:space="preserve"> sulfur </w:t>
      </w:r>
      <w:r w:rsidR="009C0E96" w:rsidRPr="00450A65">
        <w:rPr>
          <w:rFonts w:asciiTheme="minorHAnsi" w:hAnsiTheme="minorHAnsi" w:cstheme="minorHAnsi"/>
        </w:rPr>
        <w:t>content, which</w:t>
      </w:r>
      <w:r w:rsidR="00FF2522">
        <w:rPr>
          <w:rFonts w:asciiTheme="minorHAnsi" w:hAnsiTheme="minorHAnsi" w:cstheme="minorHAnsi"/>
        </w:rPr>
        <w:t xml:space="preserve"> lowered to 0.1</w:t>
      </w:r>
      <w:r w:rsidR="009C0E96">
        <w:rPr>
          <w:rFonts w:asciiTheme="minorHAnsi" w:hAnsiTheme="minorHAnsi" w:cstheme="minorHAnsi"/>
        </w:rPr>
        <w:t xml:space="preserve"> percent</w:t>
      </w:r>
      <w:r w:rsidR="00FF2522">
        <w:rPr>
          <w:rFonts w:asciiTheme="minorHAnsi" w:hAnsiTheme="minorHAnsi" w:cstheme="minorHAnsi"/>
        </w:rPr>
        <w:t xml:space="preserve"> in 2015. </w:t>
      </w:r>
      <w:r w:rsidRPr="00450A65">
        <w:rPr>
          <w:rFonts w:asciiTheme="minorHAnsi" w:hAnsiTheme="minorHAnsi" w:cstheme="minorHAnsi"/>
        </w:rPr>
        <w:t xml:space="preserve">EPA and the U.S. Coast Guard share implementation responsibilities for these requirements and have allowed some shipping companies delayed compliance </w:t>
      </w:r>
      <w:r w:rsidR="00FF2522">
        <w:rPr>
          <w:rFonts w:asciiTheme="minorHAnsi" w:hAnsiTheme="minorHAnsi" w:cstheme="minorHAnsi"/>
        </w:rPr>
        <w:t xml:space="preserve">dates with these requirements. </w:t>
      </w:r>
      <w:r w:rsidRPr="00450A65">
        <w:rPr>
          <w:rFonts w:asciiTheme="minorHAnsi" w:hAnsiTheme="minorHAnsi" w:cstheme="minorHAnsi"/>
        </w:rPr>
        <w:t>Together, these programs require marine vessels to reduce SO</w:t>
      </w:r>
      <w:r w:rsidRPr="008762AB">
        <w:rPr>
          <w:rFonts w:asciiTheme="minorHAnsi" w:hAnsiTheme="minorHAnsi" w:cstheme="minorHAnsi"/>
          <w:vertAlign w:val="subscript"/>
        </w:rPr>
        <w:t>2</w:t>
      </w:r>
      <w:r w:rsidRPr="00450A65">
        <w:rPr>
          <w:rFonts w:asciiTheme="minorHAnsi" w:hAnsiTheme="minorHAnsi" w:cstheme="minorHAnsi"/>
        </w:rPr>
        <w:t xml:space="preserve"> emissions the equivalent of changing from</w:t>
      </w:r>
      <w:r>
        <w:rPr>
          <w:rFonts w:asciiTheme="minorHAnsi" w:hAnsiTheme="minorHAnsi" w:cstheme="minorHAnsi"/>
        </w:rPr>
        <w:t xml:space="preserve"> 3.5</w:t>
      </w:r>
      <w:r w:rsidR="00E5382C" w:rsidRPr="00E5382C">
        <w:rPr>
          <w:rFonts w:asciiTheme="minorHAnsi" w:hAnsiTheme="minorHAnsi" w:cstheme="minorHAnsi"/>
        </w:rPr>
        <w:t xml:space="preserve"> </w:t>
      </w:r>
      <w:r w:rsidR="00E5382C">
        <w:rPr>
          <w:rFonts w:asciiTheme="minorHAnsi" w:hAnsiTheme="minorHAnsi" w:cstheme="minorHAnsi"/>
        </w:rPr>
        <w:t xml:space="preserve">to </w:t>
      </w:r>
      <w:r>
        <w:rPr>
          <w:rFonts w:asciiTheme="minorHAnsi" w:hAnsiTheme="minorHAnsi" w:cstheme="minorHAnsi"/>
        </w:rPr>
        <w:t>5</w:t>
      </w:r>
      <w:r w:rsidR="00E5382C" w:rsidRPr="00E5382C">
        <w:rPr>
          <w:rFonts w:asciiTheme="minorHAnsi" w:hAnsiTheme="minorHAnsi" w:cstheme="minorHAnsi"/>
        </w:rPr>
        <w:t xml:space="preserve"> percent</w:t>
      </w:r>
      <w:r>
        <w:rPr>
          <w:rFonts w:asciiTheme="minorHAnsi" w:hAnsiTheme="minorHAnsi" w:cstheme="minorHAnsi"/>
        </w:rPr>
        <w:t xml:space="preserve"> sulfur by weight fuel to 0.1</w:t>
      </w:r>
      <w:r w:rsidR="00E5382C" w:rsidRPr="00E5382C">
        <w:rPr>
          <w:rFonts w:asciiTheme="minorHAnsi" w:hAnsiTheme="minorHAnsi" w:cstheme="minorHAnsi"/>
        </w:rPr>
        <w:t xml:space="preserve"> percent</w:t>
      </w:r>
      <w:r>
        <w:rPr>
          <w:rFonts w:asciiTheme="minorHAnsi" w:hAnsiTheme="minorHAnsi" w:cstheme="minorHAnsi"/>
        </w:rPr>
        <w:t xml:space="preserve"> sulfur by weight fuel. </w:t>
      </w:r>
      <w:r w:rsidR="009C0E96">
        <w:rPr>
          <w:rFonts w:asciiTheme="minorHAnsi" w:hAnsiTheme="minorHAnsi" w:cstheme="minorHAnsi"/>
        </w:rPr>
        <w:t>We</w:t>
      </w:r>
      <w:r w:rsidR="00763F6B">
        <w:rPr>
          <w:rFonts w:asciiTheme="minorHAnsi" w:hAnsiTheme="minorHAnsi" w:cstheme="minorHAnsi"/>
        </w:rPr>
        <w:t xml:space="preserve"> expect a</w:t>
      </w:r>
      <w:r w:rsidRPr="00450A65">
        <w:rPr>
          <w:rFonts w:asciiTheme="minorHAnsi" w:hAnsiTheme="minorHAnsi" w:cstheme="minorHAnsi"/>
        </w:rPr>
        <w:t xml:space="preserve"> </w:t>
      </w:r>
      <w:r w:rsidR="0065559A">
        <w:rPr>
          <w:rFonts w:asciiTheme="minorHAnsi" w:hAnsiTheme="minorHAnsi" w:cstheme="minorHAnsi"/>
        </w:rPr>
        <w:t xml:space="preserve">70 to </w:t>
      </w:r>
      <w:r w:rsidR="001D61BD">
        <w:rPr>
          <w:rFonts w:asciiTheme="minorHAnsi" w:hAnsiTheme="minorHAnsi" w:cstheme="minorHAnsi"/>
        </w:rPr>
        <w:t xml:space="preserve">90 percent </w:t>
      </w:r>
      <w:r w:rsidRPr="00450A65">
        <w:rPr>
          <w:rFonts w:asciiTheme="minorHAnsi" w:hAnsiTheme="minorHAnsi" w:cstheme="minorHAnsi"/>
        </w:rPr>
        <w:t>reduction in SO</w:t>
      </w:r>
      <w:r w:rsidRPr="008762AB">
        <w:rPr>
          <w:rFonts w:asciiTheme="minorHAnsi" w:hAnsiTheme="minorHAnsi" w:cstheme="minorHAnsi"/>
          <w:vertAlign w:val="subscript"/>
        </w:rPr>
        <w:t>X</w:t>
      </w:r>
      <w:r w:rsidRPr="00450A65">
        <w:rPr>
          <w:rFonts w:asciiTheme="minorHAnsi" w:hAnsiTheme="minorHAnsi" w:cstheme="minorHAnsi"/>
        </w:rPr>
        <w:t xml:space="preserve"> emissions from marine vessels in the ECA area. According to the EPA, by 2020, ships complying with the ECA will reduce emissions of NO</w:t>
      </w:r>
      <w:r w:rsidRPr="00E5382C">
        <w:rPr>
          <w:rFonts w:asciiTheme="minorHAnsi" w:hAnsiTheme="minorHAnsi" w:cstheme="minorHAnsi"/>
          <w:vertAlign w:val="subscript"/>
        </w:rPr>
        <w:t>x</w:t>
      </w:r>
      <w:r w:rsidRPr="00450A65">
        <w:rPr>
          <w:rFonts w:asciiTheme="minorHAnsi" w:hAnsiTheme="minorHAnsi" w:cstheme="minorHAnsi"/>
        </w:rPr>
        <w:t>, SO</w:t>
      </w:r>
      <w:r w:rsidRPr="00E5382C">
        <w:rPr>
          <w:rFonts w:asciiTheme="minorHAnsi" w:hAnsiTheme="minorHAnsi" w:cstheme="minorHAnsi"/>
          <w:vertAlign w:val="subscript"/>
        </w:rPr>
        <w:t>x</w:t>
      </w:r>
      <w:r w:rsidRPr="00450A65">
        <w:rPr>
          <w:rFonts w:asciiTheme="minorHAnsi" w:hAnsiTheme="minorHAnsi" w:cstheme="minorHAnsi"/>
        </w:rPr>
        <w:t xml:space="preserve"> and PM</w:t>
      </w:r>
      <w:r w:rsidRPr="0000549F">
        <w:rPr>
          <w:rFonts w:asciiTheme="minorHAnsi" w:hAnsiTheme="minorHAnsi" w:cstheme="minorHAnsi"/>
          <w:vertAlign w:val="subscript"/>
        </w:rPr>
        <w:t>2.5</w:t>
      </w:r>
      <w:r w:rsidRPr="00450A65">
        <w:rPr>
          <w:rFonts w:asciiTheme="minorHAnsi" w:hAnsiTheme="minorHAnsi" w:cstheme="minorHAnsi"/>
        </w:rPr>
        <w:t xml:space="preserve"> by 23 percent, 74 percent and 86 percent annually below predicted levels without the ECA (EPA Fact </w:t>
      </w:r>
      <w:r w:rsidR="006E2586">
        <w:rPr>
          <w:rFonts w:asciiTheme="minorHAnsi" w:hAnsiTheme="minorHAnsi" w:cstheme="minorHAnsi"/>
        </w:rPr>
        <w:t>sheet 420-F-10-105 March 2010).</w:t>
      </w:r>
    </w:p>
    <w:p w14:paraId="52B20374" w14:textId="541C2773" w:rsidR="00EE5522" w:rsidRPr="00450A65" w:rsidRDefault="00EE5522" w:rsidP="00EE5522">
      <w:pPr>
        <w:rPr>
          <w:rFonts w:asciiTheme="minorHAnsi" w:hAnsiTheme="minorHAnsi" w:cstheme="minorHAnsi"/>
        </w:rPr>
      </w:pPr>
      <w:r w:rsidRPr="00450A65">
        <w:rPr>
          <w:rFonts w:asciiTheme="minorHAnsi" w:hAnsiTheme="minorHAnsi" w:cstheme="minorHAnsi"/>
        </w:rPr>
        <w:t xml:space="preserve">The MARPOL V required reductions in </w:t>
      </w:r>
      <w:r w:rsidR="0000549F">
        <w:rPr>
          <w:rFonts w:asciiTheme="minorHAnsi" w:hAnsiTheme="minorHAnsi" w:cstheme="minorHAnsi"/>
        </w:rPr>
        <w:t>NOx</w:t>
      </w:r>
      <w:r>
        <w:rPr>
          <w:rFonts w:asciiTheme="minorHAnsi" w:hAnsiTheme="minorHAnsi" w:cstheme="minorHAnsi"/>
        </w:rPr>
        <w:t xml:space="preserve"> emissions starting in 2011.</w:t>
      </w:r>
      <w:r w:rsidRPr="00450A65">
        <w:rPr>
          <w:rFonts w:asciiTheme="minorHAnsi" w:hAnsiTheme="minorHAnsi" w:cstheme="minorHAnsi"/>
        </w:rPr>
        <w:t xml:space="preserve"> The EPA Part 90 marine </w:t>
      </w:r>
      <w:r w:rsidR="0000549F">
        <w:rPr>
          <w:rFonts w:asciiTheme="minorHAnsi" w:hAnsiTheme="minorHAnsi" w:cstheme="minorHAnsi"/>
        </w:rPr>
        <w:t>engine requirements phase in NOx</w:t>
      </w:r>
      <w:r w:rsidRPr="00450A65">
        <w:rPr>
          <w:rFonts w:asciiTheme="minorHAnsi" w:hAnsiTheme="minorHAnsi" w:cstheme="minorHAnsi"/>
        </w:rPr>
        <w:t xml:space="preserve"> reductions as </w:t>
      </w:r>
      <w:r w:rsidR="00FD25B2">
        <w:rPr>
          <w:rFonts w:asciiTheme="minorHAnsi" w:hAnsiTheme="minorHAnsi" w:cstheme="minorHAnsi"/>
        </w:rPr>
        <w:t xml:space="preserve">manufacturers build new </w:t>
      </w:r>
      <w:r w:rsidRPr="00450A65">
        <w:rPr>
          <w:rFonts w:asciiTheme="minorHAnsi" w:hAnsiTheme="minorHAnsi" w:cstheme="minorHAnsi"/>
        </w:rPr>
        <w:t>vessels or in</w:t>
      </w:r>
      <w:r>
        <w:rPr>
          <w:rFonts w:asciiTheme="minorHAnsi" w:hAnsiTheme="minorHAnsi" w:cstheme="minorHAnsi"/>
        </w:rPr>
        <w:t xml:space="preserve">stall new replacement engines. </w:t>
      </w:r>
      <w:r w:rsidRPr="00450A65">
        <w:rPr>
          <w:rFonts w:asciiTheme="minorHAnsi" w:hAnsiTheme="minorHAnsi" w:cstheme="minorHAnsi"/>
        </w:rPr>
        <w:t xml:space="preserve">Part 90 requires new engines meet Tier 2 requirements in 2011 (equal to the MARPOL requirement) and Tier 3 </w:t>
      </w:r>
      <w:r>
        <w:rPr>
          <w:rFonts w:asciiTheme="minorHAnsi" w:hAnsiTheme="minorHAnsi" w:cstheme="minorHAnsi"/>
        </w:rPr>
        <w:t xml:space="preserve">requirements starting in 2016. </w:t>
      </w:r>
      <w:r w:rsidRPr="00450A65">
        <w:rPr>
          <w:rFonts w:asciiTheme="minorHAnsi" w:hAnsiTheme="minorHAnsi" w:cstheme="minorHAnsi"/>
        </w:rPr>
        <w:t>EPA estimates that the NO</w:t>
      </w:r>
      <w:r w:rsidR="0000549F">
        <w:rPr>
          <w:rFonts w:asciiTheme="minorHAnsi" w:hAnsiTheme="minorHAnsi" w:cstheme="minorHAnsi"/>
        </w:rPr>
        <w:t>x</w:t>
      </w:r>
      <w:r w:rsidRPr="00450A65">
        <w:rPr>
          <w:rFonts w:asciiTheme="minorHAnsi" w:hAnsiTheme="minorHAnsi" w:cstheme="minorHAnsi"/>
        </w:rPr>
        <w:t xml:space="preserve"> requirements will reduce national marine vesse</w:t>
      </w:r>
      <w:r w:rsidR="008672EA">
        <w:rPr>
          <w:rFonts w:asciiTheme="minorHAnsi" w:hAnsiTheme="minorHAnsi" w:cstheme="minorHAnsi"/>
        </w:rPr>
        <w:t>l NOx by 80 percent</w:t>
      </w:r>
      <w:r>
        <w:rPr>
          <w:rFonts w:asciiTheme="minorHAnsi" w:hAnsiTheme="minorHAnsi" w:cstheme="minorHAnsi"/>
        </w:rPr>
        <w:t xml:space="preserve"> from 2009 levels. </w:t>
      </w:r>
      <w:r w:rsidRPr="00450A65">
        <w:rPr>
          <w:rFonts w:asciiTheme="minorHAnsi" w:hAnsiTheme="minorHAnsi" w:cstheme="minorHAnsi"/>
        </w:rPr>
        <w:t>The effects of the marine vessel fuel sulfur requirements are reflected in the IMPROVE data, though the effects of the ECA are not fully reflected in the data due to the long lead time for the MARPOL requirements and the relatively recent date (2013) for vessels to meet</w:t>
      </w:r>
      <w:r w:rsidR="00FF2522">
        <w:rPr>
          <w:rFonts w:asciiTheme="minorHAnsi" w:hAnsiTheme="minorHAnsi" w:cstheme="minorHAnsi"/>
        </w:rPr>
        <w:t xml:space="preserve"> the first stage requirements.</w:t>
      </w:r>
    </w:p>
    <w:p w14:paraId="2E263AE5" w14:textId="55C506A7" w:rsidR="00EE5522" w:rsidRDefault="00BA3F48" w:rsidP="00FF2522">
      <w:pPr>
        <w:pStyle w:val="Heading4"/>
      </w:pPr>
      <w:bookmarkStart w:id="13" w:name="_Toc51679889"/>
      <w:r>
        <w:t>Washington S</w:t>
      </w:r>
      <w:r w:rsidR="00EE5522" w:rsidRPr="00FF2522">
        <w:t xml:space="preserve">tate emission limits and </w:t>
      </w:r>
      <w:r w:rsidR="002A4066" w:rsidRPr="00FF2522">
        <w:t>shutdowns</w:t>
      </w:r>
      <w:bookmarkEnd w:id="13"/>
    </w:p>
    <w:p w14:paraId="6B3FEE6F" w14:textId="200D3589" w:rsidR="006C5A58" w:rsidRDefault="001A2B75" w:rsidP="001A2B75">
      <w:pPr>
        <w:pStyle w:val="BulletedList"/>
        <w:numPr>
          <w:ilvl w:val="0"/>
          <w:numId w:val="16"/>
        </w:numPr>
      </w:pPr>
      <w:r w:rsidRPr="001A2B75">
        <w:t>TransAlta Centralia Generation, LLC Power Plant BART Order revision</w:t>
      </w:r>
      <w:r>
        <w:t xml:space="preserve">. This is the only coal-fired power generation facility in Washington State. The </w:t>
      </w:r>
      <w:r w:rsidR="006C5A58">
        <w:t xml:space="preserve">TransAlta BART Order </w:t>
      </w:r>
      <w:r w:rsidR="006C5A58">
        <w:lastRenderedPageBreak/>
        <w:t xml:space="preserve">was updated in 2020 </w:t>
      </w:r>
      <w:r w:rsidR="004F74E1">
        <w:t xml:space="preserve">and </w:t>
      </w:r>
      <w:r w:rsidR="006C5A58">
        <w:t>w</w:t>
      </w:r>
      <w:r w:rsidR="002878D9">
        <w:t>as</w:t>
      </w:r>
      <w:r w:rsidR="006C5A58">
        <w:t xml:space="preserve"> submitted into the SIP in 2020. The BART Order will result in lower NOx emissions while operating as a coal-fired facility. One</w:t>
      </w:r>
      <w:r w:rsidR="00E31711">
        <w:t xml:space="preserve"> boiler </w:t>
      </w:r>
      <w:r w:rsidR="006C5A58">
        <w:t>cease</w:t>
      </w:r>
      <w:r w:rsidR="00E31711">
        <w:t>d</w:t>
      </w:r>
      <w:r w:rsidR="006C5A58">
        <w:t xml:space="preserve"> coal-fired operation in 2020 and the facility will completely cease coal-fired operation by the end of 2025.</w:t>
      </w:r>
    </w:p>
    <w:p w14:paraId="0EAAFBC2" w14:textId="3B373D22" w:rsidR="006C5A58" w:rsidRDefault="006C5A58" w:rsidP="001A2B75">
      <w:pPr>
        <w:pStyle w:val="BulletedList"/>
        <w:numPr>
          <w:ilvl w:val="0"/>
          <w:numId w:val="16"/>
        </w:numPr>
      </w:pPr>
      <w:r>
        <w:t xml:space="preserve">Cardinal </w:t>
      </w:r>
      <w:r w:rsidRPr="00D06D29">
        <w:t>Glass</w:t>
      </w:r>
      <w:r w:rsidR="001A2B75">
        <w:t>, a fl</w:t>
      </w:r>
      <w:r w:rsidR="00A67D0B">
        <w:t>at glass facility,</w:t>
      </w:r>
      <w:r w:rsidRPr="00D06D29">
        <w:t xml:space="preserve"> submitted a permit modification application to </w:t>
      </w:r>
      <w:r w:rsidR="003766CE">
        <w:t>Southwest Clean Air Agency (</w:t>
      </w:r>
      <w:r w:rsidRPr="00D06D29">
        <w:t>SWCAA</w:t>
      </w:r>
      <w:r w:rsidR="003766CE">
        <w:t>)</w:t>
      </w:r>
      <w:r w:rsidRPr="00D06D29">
        <w:t xml:space="preserve"> to install a SCR emission control device and increase production of plate glass. The application also proposed removing the current emission controls of limiting excess oxygen. </w:t>
      </w:r>
      <w:r>
        <w:t xml:space="preserve">The permit is currently undergoing a review process. The expected day of completion and issuance of the permit is early 2021. </w:t>
      </w:r>
      <w:r w:rsidR="00D65DA0">
        <w:t>We will update t</w:t>
      </w:r>
      <w:r>
        <w:t xml:space="preserve">his document once </w:t>
      </w:r>
      <w:r w:rsidR="00D65DA0">
        <w:t xml:space="preserve">SWCAA issues </w:t>
      </w:r>
      <w:r>
        <w:t>the permit</w:t>
      </w:r>
      <w:r w:rsidR="00615339">
        <w:t>.</w:t>
      </w:r>
    </w:p>
    <w:p w14:paraId="5088F673" w14:textId="77777777" w:rsidR="006C5A58" w:rsidRPr="00D76760" w:rsidRDefault="006C5A58" w:rsidP="001A2B75">
      <w:pPr>
        <w:pStyle w:val="BulletedList"/>
        <w:numPr>
          <w:ilvl w:val="0"/>
          <w:numId w:val="16"/>
        </w:numPr>
      </w:pPr>
      <w:r>
        <w:t>Ash Grove consent decree.</w:t>
      </w:r>
      <w:r w:rsidRPr="00D76760">
        <w:rPr>
          <w:shd w:val="clear" w:color="auto" w:fill="FFFFFF"/>
        </w:rPr>
        <w:t xml:space="preserve"> </w:t>
      </w:r>
      <w:r w:rsidRPr="00D76760">
        <w:t>The Ash Grove Cement Company entered into a consent decree with EPA, Ecology, the Puget Sound Clean Air Agency (PSCAA), and other state agencies in 2013 [SEE APPENDIX XX]. The consent decree required the Seattle facility to submit an optimization protocol for the Seattle Kiln to optimize the operation of the Seattle Kiln to reduce NOx emissions to the maximum extent practicable from that Kiln. On August 25, 2016, EPA, in consultation with affected state agencies, reviewed the data and approved the limit of 5.1 pounds of NOx per ton of clinker on a 30-day rolling average.</w:t>
      </w:r>
    </w:p>
    <w:p w14:paraId="2EFA5DB5" w14:textId="0DAAB724" w:rsidR="00E83DCD" w:rsidRDefault="00A67D0B" w:rsidP="00572F6B">
      <w:pPr>
        <w:pStyle w:val="Paragraph"/>
      </w:pPr>
      <w:r>
        <w:t xml:space="preserve"> </w:t>
      </w:r>
      <w:r w:rsidR="00D559EC">
        <w:t>O</w:t>
      </w:r>
      <w:r>
        <w:t>ther</w:t>
      </w:r>
      <w:r w:rsidR="00D559EC">
        <w:t>, non-regulatory,</w:t>
      </w:r>
      <w:r w:rsidR="00F277E0">
        <w:t xml:space="preserve"> factors </w:t>
      </w:r>
      <w:r>
        <w:t xml:space="preserve">can result in decreased emissions. Economic and market conditions can drive business decisions that may result in decreased or curtailed production. In </w:t>
      </w:r>
      <w:r w:rsidR="00D559EC">
        <w:t>Washington,</w:t>
      </w:r>
      <w:r>
        <w:t xml:space="preserve"> t</w:t>
      </w:r>
      <w:r w:rsidR="00E83DCD">
        <w:t>wo aluminum smelters are currently in curtailment</w:t>
      </w:r>
      <w:r w:rsidR="00515212">
        <w:t xml:space="preserve"> due to market conditions, one since 2014. Curtailed facilities can resume production at any time so E</w:t>
      </w:r>
      <w:r w:rsidR="00E83DCD">
        <w:t>cology is pursuing emission control changes</w:t>
      </w:r>
      <w:r w:rsidR="00D559EC">
        <w:t>.</w:t>
      </w:r>
      <w:r w:rsidR="00E83DCD">
        <w:t xml:space="preserve"> </w:t>
      </w:r>
      <w:r w:rsidR="00D559EC">
        <w:t>We will provide an update</w:t>
      </w:r>
      <w:r w:rsidR="00E83DCD">
        <w:t xml:space="preserve"> in the next progress report</w:t>
      </w:r>
      <w:r w:rsidR="00D559EC">
        <w:t>,</w:t>
      </w:r>
      <w:r w:rsidR="00E83DCD">
        <w:t xml:space="preserve"> if appropriate. One of the smelters is in an area that </w:t>
      </w:r>
      <w:r w:rsidR="00D559EC">
        <w:t xml:space="preserve">EPA </w:t>
      </w:r>
      <w:r w:rsidR="00E31711">
        <w:t xml:space="preserve">may </w:t>
      </w:r>
      <w:r w:rsidR="00E83DCD">
        <w:t>designate as a non-attainment area</w:t>
      </w:r>
      <w:r w:rsidR="00D559EC">
        <w:t>,</w:t>
      </w:r>
      <w:r w:rsidR="00E83DCD">
        <w:t xml:space="preserve"> so future operations may require additional controls.</w:t>
      </w:r>
      <w:r w:rsidR="00515212">
        <w:t xml:space="preserve"> </w:t>
      </w:r>
      <w:r w:rsidR="00D559EC">
        <w:t>Chapter 11 discusses t</w:t>
      </w:r>
      <w:r w:rsidR="00515212">
        <w:t>hese facilities.</w:t>
      </w:r>
    </w:p>
    <w:p w14:paraId="4DDA2753" w14:textId="47F6FF96" w:rsidR="00E83DCD" w:rsidRDefault="0012332D" w:rsidP="00BA3F48">
      <w:pPr>
        <w:pStyle w:val="Heading4"/>
      </w:pPr>
      <w:bookmarkStart w:id="14" w:name="_Toc51679890"/>
      <w:r>
        <w:t>A</w:t>
      </w:r>
      <w:r w:rsidR="00E83DCD">
        <w:t xml:space="preserve">rea </w:t>
      </w:r>
      <w:r w:rsidR="00DB1167">
        <w:t xml:space="preserve">and mobile </w:t>
      </w:r>
      <w:r w:rsidR="00E83DCD">
        <w:t>source</w:t>
      </w:r>
      <w:r w:rsidR="00BA3F48">
        <w:t>s</w:t>
      </w:r>
      <w:bookmarkEnd w:id="14"/>
    </w:p>
    <w:p w14:paraId="0805DEFB" w14:textId="36988A27" w:rsidR="008A14D0" w:rsidRDefault="00C350D7" w:rsidP="00C350D7">
      <w:pPr>
        <w:pStyle w:val="Paragraph"/>
      </w:pPr>
      <w:r>
        <w:t xml:space="preserve">The </w:t>
      </w:r>
      <w:r w:rsidR="003F11DE">
        <w:t xml:space="preserve">regional haze rule </w:t>
      </w:r>
      <w:r>
        <w:t>RHR requires that states identify all anthropogenic sources of visibility impairment considered by the state when developing its LTS, including stationary, mobile, and area sources (</w:t>
      </w:r>
      <w:r w:rsidR="00756EE9">
        <w:t xml:space="preserve">40 CFR </w:t>
      </w:r>
      <w:r>
        <w:t xml:space="preserve">51.308(d)(3)(iv)). </w:t>
      </w:r>
      <w:r w:rsidR="00AD1804">
        <w:t>Chapter 11 discusses s</w:t>
      </w:r>
      <w:r>
        <w:t>tationary sources</w:t>
      </w:r>
      <w:r w:rsidR="008A14D0">
        <w:t>.</w:t>
      </w:r>
    </w:p>
    <w:p w14:paraId="5AE7710D" w14:textId="77777777" w:rsidR="003F11DE" w:rsidRDefault="003F11DE" w:rsidP="003F11DE">
      <w:pPr>
        <w:pStyle w:val="Heading5"/>
      </w:pPr>
      <w:bookmarkStart w:id="15" w:name="_Toc51679891"/>
      <w:r>
        <w:t>Woodstoves</w:t>
      </w:r>
      <w:bookmarkEnd w:id="15"/>
    </w:p>
    <w:p w14:paraId="72353E4F" w14:textId="714D6205" w:rsidR="00524073" w:rsidRDefault="00BA3F48" w:rsidP="003F11DE">
      <w:pPr>
        <w:pStyle w:val="Paragraph"/>
      </w:pPr>
      <w:r>
        <w:t>Woodstove smoke</w:t>
      </w:r>
      <w:r w:rsidR="00A2197B">
        <w:t xml:space="preserve"> in Washington contributes to visual impairment in the state. Since 2007, Washington has decreased </w:t>
      </w:r>
      <w:r w:rsidR="003F11DE">
        <w:t xml:space="preserve">emissions from </w:t>
      </w:r>
      <w:r w:rsidR="00A2197B">
        <w:t>woodstove</w:t>
      </w:r>
      <w:r w:rsidR="003F11DE">
        <w:t>s</w:t>
      </w:r>
      <w:r w:rsidR="00A2197B">
        <w:t xml:space="preserve"> by supporting a woodstove buy-back and exchange program</w:t>
      </w:r>
      <w:r w:rsidR="00524073">
        <w:t xml:space="preserve">. This program provides grant funding </w:t>
      </w:r>
      <w:r w:rsidR="006E46BA">
        <w:t>to local clean air agencies and</w:t>
      </w:r>
      <w:r w:rsidR="00524073">
        <w:t xml:space="preserve"> Ecology to replace</w:t>
      </w:r>
      <w:r w:rsidR="00A2197B">
        <w:t xml:space="preserve"> older woodstoves with cleaner burning woodstoves or</w:t>
      </w:r>
      <w:r w:rsidR="00524073">
        <w:t xml:space="preserve"> cleaner heat sources such as heat pumps or gas stoves or furnaces. Some areas have also run woodstove bounty programs where they buy back older stoves outright.</w:t>
      </w:r>
      <w:r w:rsidR="00A2197B">
        <w:t xml:space="preserve"> In </w:t>
      </w:r>
      <w:r w:rsidR="00025C25">
        <w:t xml:space="preserve">13 years, Washington estimates that </w:t>
      </w:r>
      <w:r w:rsidR="000C7DE0">
        <w:t xml:space="preserve">state and local </w:t>
      </w:r>
      <w:r w:rsidR="000C7DE0">
        <w:lastRenderedPageBreak/>
        <w:t xml:space="preserve">governments have bought back </w:t>
      </w:r>
      <w:r w:rsidR="00F25763">
        <w:t xml:space="preserve">or exchanged </w:t>
      </w:r>
      <w:r w:rsidR="00025C25">
        <w:t>more than 8,000 stoves for an estimated total reduction of 194 tons of PM</w:t>
      </w:r>
      <w:r w:rsidR="00025C25" w:rsidRPr="00025C25">
        <w:rPr>
          <w:vertAlign w:val="subscript"/>
        </w:rPr>
        <w:t>2.5</w:t>
      </w:r>
      <w:r w:rsidR="00025C25">
        <w:t>.</w:t>
      </w:r>
    </w:p>
    <w:p w14:paraId="3E0B40BA" w14:textId="2E0D0A8C" w:rsidR="00E13BD5" w:rsidRDefault="002B2038" w:rsidP="003F11DE">
      <w:pPr>
        <w:pStyle w:val="Paragraph"/>
      </w:pPr>
      <w:r>
        <w:t>Rec</w:t>
      </w:r>
      <w:r w:rsidR="00E13BD5">
        <w:t xml:space="preserve">ent federal </w:t>
      </w:r>
      <w:r w:rsidR="00E13BD5" w:rsidRPr="003F11DE">
        <w:t>actions</w:t>
      </w:r>
      <w:r w:rsidR="00E13BD5">
        <w:t xml:space="preserve"> also lower the standards for</w:t>
      </w:r>
      <w:r>
        <w:t xml:space="preserve"> future woodstove emissions. </w:t>
      </w:r>
      <w:r w:rsidR="005F4584">
        <w:t xml:space="preserve">EPA </w:t>
      </w:r>
      <w:r w:rsidR="00B85AEB">
        <w:t xml:space="preserve">lowered </w:t>
      </w:r>
      <w:r w:rsidR="005F4584">
        <w:t>woodstove s</w:t>
      </w:r>
      <w:r w:rsidR="00615339">
        <w:t>tandards of performance</w:t>
      </w:r>
      <w:r>
        <w:t xml:space="preserve"> to 2.0 grams of smoke per hour (g/h)</w:t>
      </w:r>
      <w:r w:rsidR="00025C25">
        <w:t xml:space="preserve"> </w:t>
      </w:r>
      <w:r>
        <w:t xml:space="preserve">in May 2020 </w:t>
      </w:r>
      <w:r w:rsidR="006E46BA">
        <w:t xml:space="preserve">for new woodstoves, </w:t>
      </w:r>
      <w:r>
        <w:t>although the</w:t>
      </w:r>
      <w:r w:rsidR="00B85AEB">
        <w:t>y have delayed</w:t>
      </w:r>
      <w:r>
        <w:t xml:space="preserve"> implementation and enforc</w:t>
      </w:r>
      <w:r w:rsidR="00E13BD5">
        <w:t>ement of that standard</w:t>
      </w:r>
      <w:r>
        <w:t>.</w:t>
      </w:r>
    </w:p>
    <w:p w14:paraId="0F5958BC" w14:textId="1D2DB76D" w:rsidR="00F12888" w:rsidRDefault="00025C25" w:rsidP="003F11DE">
      <w:pPr>
        <w:pStyle w:val="Paragraph"/>
      </w:pPr>
      <w:r>
        <w:t xml:space="preserve">Ecology has determined that </w:t>
      </w:r>
      <w:r w:rsidR="00E13BD5">
        <w:t xml:space="preserve">state and federal </w:t>
      </w:r>
      <w:r w:rsidR="00E13BD5" w:rsidRPr="003F11DE">
        <w:t>controls</w:t>
      </w:r>
      <w:r w:rsidR="00E13BD5">
        <w:t xml:space="preserve"> </w:t>
      </w:r>
      <w:r w:rsidR="003F11DE">
        <w:t xml:space="preserve">on woodstove emissions </w:t>
      </w:r>
      <w:r w:rsidR="00E13BD5">
        <w:t xml:space="preserve">are sufficient and </w:t>
      </w:r>
      <w:r>
        <w:t>additional controls</w:t>
      </w:r>
      <w:r w:rsidR="00E13BD5">
        <w:t xml:space="preserve"> are not reasonable</w:t>
      </w:r>
      <w:r>
        <w:t xml:space="preserve"> at this time.</w:t>
      </w:r>
    </w:p>
    <w:p w14:paraId="2C0DD348" w14:textId="77777777" w:rsidR="00A930EA" w:rsidRDefault="00A930EA" w:rsidP="00A930EA">
      <w:pPr>
        <w:pStyle w:val="Heading5"/>
      </w:pPr>
      <w:bookmarkStart w:id="16" w:name="_Toc51679892"/>
      <w:r>
        <w:t>Mobile sources</w:t>
      </w:r>
      <w:bookmarkEnd w:id="16"/>
    </w:p>
    <w:p w14:paraId="1035DDDC" w14:textId="65BDB20E" w:rsidR="00CC0B23" w:rsidRPr="003F11DE" w:rsidRDefault="00CC0B23" w:rsidP="003F11DE">
      <w:pPr>
        <w:pStyle w:val="Paragraph"/>
      </w:pPr>
      <w:r w:rsidRPr="003F11DE">
        <w:t xml:space="preserve">Although Ecology </w:t>
      </w:r>
      <w:r w:rsidR="00F21920" w:rsidRPr="003F11DE">
        <w:t>does not</w:t>
      </w:r>
      <w:r w:rsidRPr="003F11DE">
        <w:t xml:space="preserve"> directly control emissions from mobile sources, they actively participate in programs that reduce mobile source emissions and manage grants that result in reduced emissions and higher fuel economy.</w:t>
      </w:r>
    </w:p>
    <w:p w14:paraId="732A1651" w14:textId="77777777" w:rsidR="00230DEE" w:rsidRDefault="00E7165C" w:rsidP="003F11DE">
      <w:pPr>
        <w:pStyle w:val="Paragraph"/>
      </w:pPr>
      <w:r w:rsidRPr="003F11DE">
        <w:t xml:space="preserve">Mobile sources are the largest contributors to NOx emissions in Washington. Population growth has contributed to mobile source emissions. Factors that have decreased the mobile source emissions have included fleet turnover to more fuel efficient </w:t>
      </w:r>
      <w:r w:rsidR="00230DEE">
        <w:t xml:space="preserve">or electric </w:t>
      </w:r>
      <w:r w:rsidRPr="003F11DE">
        <w:t>vehicles</w:t>
      </w:r>
      <w:r w:rsidR="008E0964" w:rsidRPr="003F11DE">
        <w:t xml:space="preserve">, </w:t>
      </w:r>
      <w:r w:rsidR="00230DEE">
        <w:t xml:space="preserve">and low sulfur fuel requirements. </w:t>
      </w:r>
    </w:p>
    <w:p w14:paraId="7E97B055" w14:textId="34782687" w:rsidR="00E7165C" w:rsidRPr="003F11DE" w:rsidRDefault="00230DEE" w:rsidP="003F11DE">
      <w:pPr>
        <w:pStyle w:val="Paragraph"/>
      </w:pPr>
      <w:r>
        <w:t xml:space="preserve">A program that also contributed to emission reductions from vehicles was </w:t>
      </w:r>
      <w:r w:rsidR="00E7165C" w:rsidRPr="003F11DE">
        <w:t xml:space="preserve">Washington’s </w:t>
      </w:r>
      <w:r w:rsidRPr="00230DEE">
        <w:t>vehicle emission testing program</w:t>
      </w:r>
      <w:r w:rsidR="00F21920">
        <w:t>. The program required vehicles in Washington to meet</w:t>
      </w:r>
      <w:r w:rsidRPr="00230DEE">
        <w:t xml:space="preserve"> </w:t>
      </w:r>
      <w:r w:rsidR="00CC0B23" w:rsidRPr="003F11DE">
        <w:t>emission limits prior to vehicle registration.</w:t>
      </w:r>
      <w:r w:rsidR="008E0964" w:rsidRPr="003F11DE">
        <w:t xml:space="preserve"> </w:t>
      </w:r>
      <w:r w:rsidR="008D5B7E">
        <w:t>The combination of the vehicle emission testing program and advances in vehicle technology led to reduced mobile source emissions.</w:t>
      </w:r>
      <w:r>
        <w:t xml:space="preserve"> The legislature phased it out starting in 2005 based on Ecology’s prediction that</w:t>
      </w:r>
      <w:r w:rsidR="0028794F">
        <w:t xml:space="preserve"> more fuel efficient and electric vehicles would replace the need for</w:t>
      </w:r>
      <w:r>
        <w:t xml:space="preserve"> it by 2020 (RCW 70.120.170).</w:t>
      </w:r>
      <w:r w:rsidR="008E0964" w:rsidRPr="003F11DE">
        <w:t xml:space="preserve"> </w:t>
      </w:r>
      <w:r>
        <w:t>The program</w:t>
      </w:r>
      <w:r w:rsidR="008E0964" w:rsidRPr="003F11DE">
        <w:t xml:space="preserve"> </w:t>
      </w:r>
      <w:r w:rsidR="008D5B7E">
        <w:t>ended on January 1, 2020.</w:t>
      </w:r>
    </w:p>
    <w:p w14:paraId="08DCD88C" w14:textId="53FA1F31" w:rsidR="00912113" w:rsidRDefault="00912113" w:rsidP="003F11DE">
      <w:pPr>
        <w:pStyle w:val="Paragraph"/>
        <w:rPr>
          <w:rFonts w:eastAsia="Calibri"/>
        </w:rPr>
      </w:pPr>
      <w:r w:rsidRPr="003F11DE">
        <w:t>Washington has also pursued mobile</w:t>
      </w:r>
      <w:r>
        <w:t xml:space="preserve"> source emission reductions through the technology of</w:t>
      </w:r>
      <w:r w:rsidR="00DD20C1">
        <w:t xml:space="preserve"> z</w:t>
      </w:r>
      <w:r>
        <w:t xml:space="preserve">ero emission vehicles (ZEV). </w:t>
      </w:r>
      <w:r w:rsidRPr="00912113">
        <w:rPr>
          <w:rFonts w:eastAsia="Calibri"/>
        </w:rPr>
        <w:t>Special provisions in the federal Clean Air Act (Section 209) allow states to adopt California’s standards instead of the federal motor vehicle emission standards. California’s standards contain both low-emission vehicle (LEV) and ZEV requirements. In 2005, the Legislature adopted the California vehicle emission standards for passenger cars, light duty trucks, and medium duty passenger vehicles. The law excluded standards for the ZEV standards and the LEV standards for medium duty trucks (trucks generally weighing between 8,500 and 14,000 pounds). The 2020 Legislature expanded Washington’s program to include the entire California program and directed Ecology to adopt rules to implement the ZEV program (</w:t>
      </w:r>
      <w:hyperlink r:id="rId12" w:history="1">
        <w:r w:rsidRPr="00912113">
          <w:rPr>
            <w:rFonts w:eastAsia="Calibri"/>
            <w:color w:val="0563C1"/>
            <w:u w:val="single"/>
          </w:rPr>
          <w:t>SB 5811</w:t>
        </w:r>
      </w:hyperlink>
      <w:r w:rsidRPr="00912113">
        <w:rPr>
          <w:rFonts w:eastAsia="Calibri"/>
        </w:rPr>
        <w:t>). We intend to adopt rules to reflect our expanded authority.</w:t>
      </w:r>
    </w:p>
    <w:p w14:paraId="391C2041" w14:textId="2B205EC9" w:rsidR="006025ED" w:rsidRDefault="00110F7C" w:rsidP="008D5B7E">
      <w:pPr>
        <w:pStyle w:val="Paragraph"/>
        <w:rPr>
          <w:rFonts w:eastAsia="Calibri"/>
        </w:rPr>
      </w:pPr>
      <w:r>
        <w:rPr>
          <w:rFonts w:eastAsia="Calibri"/>
        </w:rPr>
        <w:t xml:space="preserve">Washington has also pursued grant opportunities that result in decreased emissions from mobile sources. </w:t>
      </w:r>
      <w:r w:rsidR="00905C58">
        <w:rPr>
          <w:rFonts w:eastAsia="Calibri"/>
        </w:rPr>
        <w:t>Volkswagen</w:t>
      </w:r>
      <w:r w:rsidR="008D5B7E">
        <w:rPr>
          <w:rFonts w:eastAsia="Calibri"/>
        </w:rPr>
        <w:t xml:space="preserve"> (VW)</w:t>
      </w:r>
      <w:r w:rsidR="00905C58">
        <w:rPr>
          <w:rFonts w:eastAsia="Calibri"/>
        </w:rPr>
        <w:t xml:space="preserve"> violated federal and state clean air laws by installing illegal emissions </w:t>
      </w:r>
      <w:r w:rsidR="00905C58" w:rsidRPr="00905C58">
        <w:rPr>
          <w:rFonts w:eastAsia="Calibri"/>
        </w:rPr>
        <w:t>software on some diesel vehicles. In January 2016, the U.S. Department of Justice, working for EPA, filed a lawsuit against VW. After admitting fault, VW reached multiple settlements with EPA and Washington.</w:t>
      </w:r>
      <w:r w:rsidR="00905C58">
        <w:rPr>
          <w:rFonts w:eastAsia="Calibri"/>
        </w:rPr>
        <w:t xml:space="preserve"> Washington is managing $140 million in settlement funds to reduce air pollution </w:t>
      </w:r>
      <w:r w:rsidR="00905C58">
        <w:rPr>
          <w:rFonts w:eastAsia="Calibri"/>
        </w:rPr>
        <w:lastRenderedPageBreak/>
        <w:t>from transportation</w:t>
      </w:r>
      <w:r w:rsidR="006025ED">
        <w:rPr>
          <w:rFonts w:eastAsia="Calibri"/>
        </w:rPr>
        <w:t>.</w:t>
      </w:r>
      <w:r w:rsidR="00905C58">
        <w:rPr>
          <w:rFonts w:eastAsia="Calibri"/>
        </w:rPr>
        <w:t xml:space="preserve"> As of February 2020 we have committed</w:t>
      </w:r>
      <w:r w:rsidR="00B76AB4">
        <w:rPr>
          <w:rFonts w:eastAsia="Calibri"/>
        </w:rPr>
        <w:t xml:space="preserve"> $91 million statewide to</w:t>
      </w:r>
      <w:r w:rsidR="00B76AB4" w:rsidRPr="00B76AB4">
        <w:t xml:space="preserve"> </w:t>
      </w:r>
      <w:r w:rsidR="00B76AB4">
        <w:t xml:space="preserve">projects that decrease diesel emissions such as electrification of </w:t>
      </w:r>
      <w:r w:rsidR="00B76AB4" w:rsidRPr="00B76AB4">
        <w:rPr>
          <w:rFonts w:eastAsia="Calibri"/>
        </w:rPr>
        <w:t>school buses, transit buse</w:t>
      </w:r>
      <w:r w:rsidR="00B76AB4">
        <w:rPr>
          <w:rFonts w:eastAsia="Calibri"/>
        </w:rPr>
        <w:t>s, ferries, state fleet</w:t>
      </w:r>
      <w:r w:rsidR="00B76AB4" w:rsidRPr="00B76AB4">
        <w:rPr>
          <w:rFonts w:eastAsia="Calibri"/>
        </w:rPr>
        <w:t xml:space="preserve"> vehicles, port drayage trucks, shorepower, and to instal</w:t>
      </w:r>
      <w:r w:rsidR="00B76AB4">
        <w:rPr>
          <w:rFonts w:eastAsia="Calibri"/>
        </w:rPr>
        <w:t>ling</w:t>
      </w:r>
      <w:r w:rsidR="00B76AB4" w:rsidRPr="00B76AB4">
        <w:rPr>
          <w:rFonts w:eastAsia="Calibri"/>
        </w:rPr>
        <w:t xml:space="preserve"> light duty electric vehicle charging stations</w:t>
      </w:r>
      <w:r w:rsidR="0000549F">
        <w:rPr>
          <w:rFonts w:eastAsia="Calibri"/>
        </w:rPr>
        <w:t>.</w:t>
      </w:r>
    </w:p>
    <w:p w14:paraId="2CA31813" w14:textId="08AC7711" w:rsidR="0000549F" w:rsidRPr="00912113" w:rsidRDefault="0000549F" w:rsidP="008D5B7E">
      <w:pPr>
        <w:pStyle w:val="Paragraph"/>
        <w:rPr>
          <w:rFonts w:eastAsia="Calibri"/>
        </w:rPr>
      </w:pPr>
      <w:r>
        <w:rPr>
          <w:rFonts w:eastAsia="Calibri"/>
        </w:rPr>
        <w:t>Ecology determined that there are no other reasonable controls for mobile sources at this time.</w:t>
      </w:r>
      <w:r w:rsidR="008A14D0">
        <w:rPr>
          <w:rFonts w:eastAsia="Calibri"/>
        </w:rPr>
        <w:t xml:space="preserve"> Thus, our LTS continues to focus on supporting and implementing the existing controls.</w:t>
      </w:r>
    </w:p>
    <w:p w14:paraId="7ADE2BBC" w14:textId="1A0E12D8" w:rsidR="007F47CE" w:rsidRPr="004578FE" w:rsidRDefault="00EE6B12" w:rsidP="00730990">
      <w:pPr>
        <w:pStyle w:val="Heading4"/>
      </w:pPr>
      <w:bookmarkStart w:id="17" w:name="_Toc51679893"/>
      <w:r>
        <w:t>F</w:t>
      </w:r>
      <w:r w:rsidR="00110F7C">
        <w:t>actors required for the</w:t>
      </w:r>
      <w:r w:rsidR="007F47CE" w:rsidRPr="004578FE">
        <w:t xml:space="preserve"> </w:t>
      </w:r>
      <w:r w:rsidR="00110F7C">
        <w:t>long-t</w:t>
      </w:r>
      <w:r w:rsidR="007F47CE" w:rsidRPr="004578FE">
        <w:t xml:space="preserve">erm </w:t>
      </w:r>
      <w:r w:rsidR="00110F7C">
        <w:t>s</w:t>
      </w:r>
      <w:r w:rsidR="007F47CE" w:rsidRPr="004578FE">
        <w:t>trategy</w:t>
      </w:r>
      <w:bookmarkEnd w:id="17"/>
    </w:p>
    <w:p w14:paraId="281C6736" w14:textId="6C4EFA3E" w:rsidR="007F47CE" w:rsidRPr="004578FE" w:rsidRDefault="007F47CE" w:rsidP="00CD0005">
      <w:pPr>
        <w:pStyle w:val="Paragraph"/>
      </w:pPr>
      <w:r w:rsidRPr="004578FE">
        <w:t xml:space="preserve">The RHR requires states to consider </w:t>
      </w:r>
      <w:r w:rsidR="00AE34BE">
        <w:t>seven</w:t>
      </w:r>
      <w:r w:rsidRPr="004578FE">
        <w:t xml:space="preserve"> fact</w:t>
      </w:r>
      <w:r w:rsidR="00D37EC2">
        <w:t>ors</w:t>
      </w:r>
      <w:r w:rsidRPr="004578FE">
        <w:t xml:space="preserve"> in developing a LTS.</w:t>
      </w:r>
      <w:r w:rsidRPr="004578FE">
        <w:rPr>
          <w:rStyle w:val="FootnoteReference"/>
          <w:rFonts w:cstheme="minorHAnsi"/>
          <w:szCs w:val="24"/>
        </w:rPr>
        <w:footnoteReference w:id="2"/>
      </w:r>
      <w:r w:rsidR="003E0837">
        <w:t xml:space="preserve"> </w:t>
      </w:r>
      <w:r w:rsidR="00730990">
        <w:t xml:space="preserve">The factors are described below. </w:t>
      </w:r>
    </w:p>
    <w:p w14:paraId="5C4AEC83" w14:textId="44333001" w:rsidR="007F47CE" w:rsidRPr="004578FE" w:rsidRDefault="007F47CE" w:rsidP="00730990">
      <w:pPr>
        <w:pStyle w:val="Heading5"/>
      </w:pPr>
      <w:bookmarkStart w:id="18" w:name="_Toc51679894"/>
      <w:r w:rsidRPr="004578FE">
        <w:t xml:space="preserve">Emission </w:t>
      </w:r>
      <w:r w:rsidRPr="00B076A3">
        <w:t>reductions</w:t>
      </w:r>
      <w:r w:rsidRPr="004578FE">
        <w:t xml:space="preserve"> due to ongoing air pollution control programs, including measures to address RAVI</w:t>
      </w:r>
      <w:r w:rsidR="00826449">
        <w:t xml:space="preserve"> (40 CFR 51.308(d)(3)(v)(A))</w:t>
      </w:r>
      <w:r w:rsidR="00BF1A99">
        <w:t>.</w:t>
      </w:r>
      <w:bookmarkEnd w:id="18"/>
    </w:p>
    <w:p w14:paraId="24AE17F4" w14:textId="78500D11" w:rsidR="007F47CE" w:rsidRPr="004578FE" w:rsidRDefault="007F47CE" w:rsidP="00CD0005">
      <w:pPr>
        <w:pStyle w:val="Paragraph"/>
      </w:pPr>
      <w:r w:rsidRPr="004578FE">
        <w:t xml:space="preserve">Current state and federal rules and state and local air agency permits limit visibility-impairing emissions from point, area, on-road, and non-road </w:t>
      </w:r>
      <w:r w:rsidR="00B076A3">
        <w:t xml:space="preserve">engines and </w:t>
      </w:r>
      <w:r w:rsidRPr="004578FE">
        <w:t>mobile sources.</w:t>
      </w:r>
      <w:r w:rsidR="003E0837">
        <w:t xml:space="preserve"> </w:t>
      </w:r>
      <w:r w:rsidR="00065176">
        <w:t>The projected 2028 emissions inventory reflects t</w:t>
      </w:r>
      <w:r w:rsidRPr="004578FE">
        <w:t>he emission reductions from most rules and permits in existence in 20</w:t>
      </w:r>
      <w:r w:rsidR="004F7B35">
        <w:t>18</w:t>
      </w:r>
      <w:r w:rsidR="00FF1A1C">
        <w:t>.</w:t>
      </w:r>
    </w:p>
    <w:p w14:paraId="226FC4C6" w14:textId="4137EB2E" w:rsidR="007F47CE" w:rsidRPr="004578FE" w:rsidRDefault="00CF4D85" w:rsidP="00CD0005">
      <w:pPr>
        <w:pStyle w:val="Paragraph"/>
      </w:pPr>
      <w:r>
        <w:t>T</w:t>
      </w:r>
      <w:r w:rsidRPr="004578FE">
        <w:t>o obtain a permit</w:t>
      </w:r>
      <w:r>
        <w:t>,</w:t>
      </w:r>
      <w:r w:rsidRPr="004578FE">
        <w:t xml:space="preserve"> </w:t>
      </w:r>
      <w:r>
        <w:t>f</w:t>
      </w:r>
      <w:r w:rsidR="007F47CE" w:rsidRPr="004578FE">
        <w:t>uture major and minor new sources or modifications to existing sources will need to meet state permitting requirements; including meeting Best Available Control Technology (BACT) emission limits</w:t>
      </w:r>
      <w:r>
        <w:t>.</w:t>
      </w:r>
      <w:r w:rsidR="007F47CE" w:rsidRPr="004578FE">
        <w:t xml:space="preserve"> Major New Source Review (NSR) permits include requirements to meet Air Quality Related Values</w:t>
      </w:r>
      <w:r w:rsidR="00B076A3">
        <w:t xml:space="preserve"> (AQRV)</w:t>
      </w:r>
      <w:r w:rsidR="007F47CE" w:rsidRPr="004578FE">
        <w:t xml:space="preserve"> protection</w:t>
      </w:r>
      <w:r w:rsidR="00E22055">
        <w:t xml:space="preserve"> criteria established by </w:t>
      </w:r>
      <w:r w:rsidR="006F6CD6">
        <w:t>EPA</w:t>
      </w:r>
      <w:r w:rsidR="007F47CE" w:rsidRPr="004578FE">
        <w:t xml:space="preserve"> for </w:t>
      </w:r>
      <w:r w:rsidR="00636B42">
        <w:t>CIA</w:t>
      </w:r>
      <w:r w:rsidR="00005524">
        <w:t>s</w:t>
      </w:r>
      <w:r w:rsidR="007F47CE" w:rsidRPr="004578FE">
        <w:t>.</w:t>
      </w:r>
    </w:p>
    <w:p w14:paraId="0FD5E584" w14:textId="0319D75B" w:rsidR="007F47CE" w:rsidRPr="004578FE" w:rsidRDefault="007F47CE" w:rsidP="00CD0005">
      <w:pPr>
        <w:pStyle w:val="Paragraph"/>
      </w:pPr>
      <w:r w:rsidRPr="004578FE">
        <w:t>Ecology and local air pollution control au</w:t>
      </w:r>
      <w:r w:rsidR="00D06345">
        <w:t xml:space="preserve">thorities </w:t>
      </w:r>
      <w:r w:rsidR="00CF4D85">
        <w:t>work</w:t>
      </w:r>
      <w:r w:rsidRPr="004578FE">
        <w:t xml:space="preserve"> to reduce emissions from existing emission </w:t>
      </w:r>
      <w:r w:rsidR="00D06345">
        <w:t xml:space="preserve">producing </w:t>
      </w:r>
      <w:r w:rsidRPr="004578FE">
        <w:t xml:space="preserve">units and to minimize new emissions through </w:t>
      </w:r>
      <w:r w:rsidR="00005524">
        <w:t>the</w:t>
      </w:r>
      <w:r w:rsidR="00005524" w:rsidRPr="004578FE">
        <w:t xml:space="preserve"> </w:t>
      </w:r>
      <w:r w:rsidRPr="004578FE">
        <w:t>state NSR program.</w:t>
      </w:r>
      <w:r w:rsidR="003E0837">
        <w:t xml:space="preserve"> </w:t>
      </w:r>
      <w:r w:rsidR="00D37EC2">
        <w:t>This program requires</w:t>
      </w:r>
      <w:r w:rsidRPr="004578FE">
        <w:t xml:space="preserve"> BACT emission reductions for all new sources and modifications that result in </w:t>
      </w:r>
      <w:r w:rsidR="00CF4D85">
        <w:t>an</w:t>
      </w:r>
      <w:r w:rsidRPr="004578FE">
        <w:t xml:space="preserve"> increase of emissions</w:t>
      </w:r>
      <w:r w:rsidR="00D37EC2">
        <w:t>.</w:t>
      </w:r>
    </w:p>
    <w:p w14:paraId="7D6FBB25" w14:textId="2F56F5C2" w:rsidR="007F47CE" w:rsidRPr="004578FE" w:rsidRDefault="00CF4D85" w:rsidP="00CD0005">
      <w:pPr>
        <w:pStyle w:val="Paragraph"/>
      </w:pPr>
      <w:r>
        <w:t>S</w:t>
      </w:r>
      <w:r w:rsidR="007F47CE" w:rsidRPr="004578FE">
        <w:t>tate law</w:t>
      </w:r>
      <w:r>
        <w:t xml:space="preserve"> (RCW 70</w:t>
      </w:r>
      <w:r w:rsidR="00B076A3">
        <w:t>A.15.2220</w:t>
      </w:r>
      <w:r>
        <w:t>)</w:t>
      </w:r>
      <w:r w:rsidR="007F47CE" w:rsidRPr="004578FE">
        <w:t xml:space="preserve"> </w:t>
      </w:r>
      <w:r>
        <w:t xml:space="preserve">requires that </w:t>
      </w:r>
      <w:r w:rsidR="007F47CE" w:rsidRPr="004578FE">
        <w:t>when a company decides to modify or replace an existing emission control system, Ecology or the local air pollution control authority must assure that the modified or replacement control system meets a</w:t>
      </w:r>
      <w:r w:rsidR="00B076A3">
        <w:t xml:space="preserve"> reasonably available control technology (</w:t>
      </w:r>
      <w:r w:rsidR="007F47CE" w:rsidRPr="004578FE">
        <w:t>RACT</w:t>
      </w:r>
      <w:r w:rsidR="00B076A3">
        <w:t>)</w:t>
      </w:r>
      <w:r w:rsidR="007F47CE" w:rsidRPr="004578FE">
        <w:t xml:space="preserve"> level of emissions control. This results in a</w:t>
      </w:r>
      <w:r w:rsidR="00181C71">
        <w:t>n</w:t>
      </w:r>
      <w:r w:rsidR="007F47CE" w:rsidRPr="004578FE">
        <w:t xml:space="preserve"> </w:t>
      </w:r>
      <w:r w:rsidR="00181C71">
        <w:t>emission</w:t>
      </w:r>
      <w:r w:rsidR="00181C71" w:rsidRPr="004578FE">
        <w:t xml:space="preserve"> </w:t>
      </w:r>
      <w:r w:rsidR="007F47CE" w:rsidRPr="004578FE">
        <w:t xml:space="preserve">reduction from </w:t>
      </w:r>
      <w:r w:rsidR="00181C71">
        <w:t>the</w:t>
      </w:r>
      <w:r w:rsidR="007F47CE" w:rsidRPr="004578FE">
        <w:t xml:space="preserve"> stationary source, though not so dramatic a reduction as might be achieved through the NSR program.</w:t>
      </w:r>
      <w:r w:rsidR="003E0837">
        <w:t xml:space="preserve"> </w:t>
      </w:r>
      <w:r w:rsidR="007F47CE" w:rsidRPr="004578FE">
        <w:t>Processing modifications and replacements of control equipment is an ongoing workload and</w:t>
      </w:r>
      <w:r w:rsidR="004B71FD">
        <w:t>,</w:t>
      </w:r>
      <w:r w:rsidR="007F47CE" w:rsidRPr="004578FE">
        <w:t xml:space="preserve"> from year-to-year</w:t>
      </w:r>
      <w:r w:rsidR="004B71FD">
        <w:t>,</w:t>
      </w:r>
      <w:r w:rsidR="007F47CE" w:rsidRPr="004578FE">
        <w:t xml:space="preserve"> the emission reductions are unpredictable.</w:t>
      </w:r>
    </w:p>
    <w:p w14:paraId="11CE0E41" w14:textId="15D064A6" w:rsidR="007F47CE" w:rsidRPr="004578FE" w:rsidRDefault="007F47CE" w:rsidP="00730990">
      <w:pPr>
        <w:pStyle w:val="Heading5"/>
      </w:pPr>
      <w:bookmarkStart w:id="19" w:name="_Toc51679895"/>
      <w:r w:rsidRPr="004578FE">
        <w:lastRenderedPageBreak/>
        <w:t xml:space="preserve">Emission </w:t>
      </w:r>
      <w:r w:rsidRPr="00B076A3">
        <w:t>reductions</w:t>
      </w:r>
      <w:r w:rsidRPr="004578FE">
        <w:t xml:space="preserve"> to mitigate the impacts of construction activities</w:t>
      </w:r>
      <w:r w:rsidR="00826449">
        <w:t xml:space="preserve"> (40 CFR 51.308(d)(3)(v)(B))</w:t>
      </w:r>
      <w:r w:rsidR="007F62BF">
        <w:t>.</w:t>
      </w:r>
      <w:bookmarkEnd w:id="19"/>
    </w:p>
    <w:p w14:paraId="57EAC32F" w14:textId="0D04A146" w:rsidR="007F47CE" w:rsidRDefault="007F47CE" w:rsidP="00295A94">
      <w:pPr>
        <w:pStyle w:val="BulletedList"/>
        <w:numPr>
          <w:ilvl w:val="0"/>
          <w:numId w:val="0"/>
        </w:numPr>
      </w:pPr>
      <w:r w:rsidRPr="004578FE">
        <w:t>Ecology or a local air quality agency</w:t>
      </w:r>
      <w:r w:rsidR="00BE0483">
        <w:t xml:space="preserve"> regulates construction activities as a source of air pollution</w:t>
      </w:r>
      <w:r w:rsidRPr="004578FE">
        <w:t>.</w:t>
      </w:r>
      <w:r w:rsidR="003E0837">
        <w:t xml:space="preserve"> </w:t>
      </w:r>
      <w:r w:rsidRPr="004578FE">
        <w:t xml:space="preserve"> </w:t>
      </w:r>
      <w:r w:rsidR="0059217F">
        <w:t>S</w:t>
      </w:r>
      <w:r w:rsidRPr="004578FE">
        <w:t>tate air quality rules</w:t>
      </w:r>
      <w:r w:rsidRPr="004578FE">
        <w:rPr>
          <w:rStyle w:val="FootnoteReference"/>
          <w:rFonts w:cstheme="minorHAnsi"/>
          <w:szCs w:val="24"/>
        </w:rPr>
        <w:footnoteReference w:id="3"/>
      </w:r>
      <w:r w:rsidR="003E0837">
        <w:t xml:space="preserve"> </w:t>
      </w:r>
      <w:r w:rsidR="0059217F">
        <w:t xml:space="preserve">address construction activities. </w:t>
      </w:r>
      <w:r w:rsidRPr="004578FE">
        <w:t xml:space="preserve">Local air quality agencies and local governments have additional rules and policies governing mitigation of air pollution from construction activities. </w:t>
      </w:r>
      <w:r w:rsidR="00EE5522">
        <w:t xml:space="preserve">Types of construction </w:t>
      </w:r>
      <w:r w:rsidR="00F8031B">
        <w:t>permits</w:t>
      </w:r>
      <w:r w:rsidR="00EE5522">
        <w:t xml:space="preserve"> in Washington include the following:</w:t>
      </w:r>
    </w:p>
    <w:p w14:paraId="398F45BA" w14:textId="1087ED00" w:rsidR="00295A94" w:rsidRDefault="00295A94" w:rsidP="00B076A3">
      <w:pPr>
        <w:pStyle w:val="BulletedList"/>
        <w:numPr>
          <w:ilvl w:val="0"/>
          <w:numId w:val="0"/>
        </w:numPr>
        <w:ind w:left="360"/>
      </w:pPr>
      <w:r>
        <w:t xml:space="preserve">A </w:t>
      </w:r>
      <w:r w:rsidRPr="00295A94">
        <w:t>prevention</w:t>
      </w:r>
      <w:r>
        <w:t xml:space="preserve"> of significant deterioration (PSD) permit applies to new large facilities or major changes at existing large facilities that could increase air pollution in an area that meets air quality standards. The intent is to prevent that area’s air quality from getting worse.</w:t>
      </w:r>
    </w:p>
    <w:p w14:paraId="499BE520" w14:textId="16FB39A2" w:rsidR="00295A94" w:rsidRDefault="00295A94" w:rsidP="00B076A3">
      <w:pPr>
        <w:pStyle w:val="BulletedList"/>
        <w:numPr>
          <w:ilvl w:val="0"/>
          <w:numId w:val="0"/>
        </w:numPr>
        <w:ind w:left="360"/>
      </w:pPr>
      <w:r>
        <w:t>A notice of construction (NOC) permit is required before installing a new source of air pollution or modifying an existing source of air pollution.</w:t>
      </w:r>
    </w:p>
    <w:p w14:paraId="4D538164" w14:textId="40E771B3" w:rsidR="006E2291" w:rsidRDefault="00015797" w:rsidP="00B076A3">
      <w:pPr>
        <w:pStyle w:val="BulletedList"/>
        <w:numPr>
          <w:ilvl w:val="0"/>
          <w:numId w:val="0"/>
        </w:numPr>
        <w:ind w:left="360"/>
      </w:pPr>
      <w:r>
        <w:t>Regulators issue a</w:t>
      </w:r>
      <w:r w:rsidR="006E2291">
        <w:t xml:space="preserve"> general order for similar sources of air pollution, instead of a series of individual NOC permits.</w:t>
      </w:r>
    </w:p>
    <w:p w14:paraId="33A43491" w14:textId="36A8C503" w:rsidR="006E2291" w:rsidRDefault="006E2291" w:rsidP="00B076A3">
      <w:pPr>
        <w:pStyle w:val="BulletedList"/>
        <w:numPr>
          <w:ilvl w:val="0"/>
          <w:numId w:val="0"/>
        </w:numPr>
        <w:ind w:left="360"/>
      </w:pPr>
      <w:r>
        <w:t>An air operating permit (AOP) combines all requirements for operation and procedures, applicable rules,</w:t>
      </w:r>
      <w:r w:rsidR="00AA4225">
        <w:t xml:space="preserve"> </w:t>
      </w:r>
      <w:r>
        <w:t>emission standards, monitoring, recordkeeping, and reporting. An AOP is required for major sources that emit or have the potential to emit 10 tons per year or more of hazardous air pollution or more of a combination of hazardous air pollution.</w:t>
      </w:r>
    </w:p>
    <w:p w14:paraId="41B0F848" w14:textId="74F7F468" w:rsidR="004F7B35" w:rsidRPr="00C2468D" w:rsidRDefault="004F7B35" w:rsidP="00730990">
      <w:pPr>
        <w:pStyle w:val="Heading5"/>
      </w:pPr>
      <w:bookmarkStart w:id="20" w:name="_Toc51679896"/>
      <w:r w:rsidRPr="00C2468D">
        <w:t>Emission limitations and schedules of compliance</w:t>
      </w:r>
      <w:r w:rsidR="00D37EC2" w:rsidRPr="00C2468D">
        <w:t xml:space="preserve"> to achieve the RPG</w:t>
      </w:r>
      <w:r w:rsidR="00621B0D">
        <w:t xml:space="preserve"> (</w:t>
      </w:r>
      <w:r w:rsidR="00621B0D" w:rsidRPr="00F272D4">
        <w:rPr>
          <w:rFonts w:cstheme="minorHAnsi"/>
          <w:szCs w:val="24"/>
        </w:rPr>
        <w:t>40 CFR 51.308(d)(3)(v)(C)).</w:t>
      </w:r>
      <w:bookmarkEnd w:id="20"/>
    </w:p>
    <w:p w14:paraId="0B748C7F" w14:textId="506AC761" w:rsidR="00413D67" w:rsidRDefault="004F7B35" w:rsidP="00413D67">
      <w:pPr>
        <w:rPr>
          <w:rFonts w:asciiTheme="minorHAnsi" w:hAnsiTheme="minorHAnsi" w:cstheme="minorHAnsi"/>
          <w:szCs w:val="24"/>
        </w:rPr>
      </w:pPr>
      <w:r w:rsidRPr="00F272D4">
        <w:rPr>
          <w:rFonts w:asciiTheme="minorHAnsi" w:hAnsiTheme="minorHAnsi" w:cstheme="minorHAnsi"/>
          <w:szCs w:val="24"/>
        </w:rPr>
        <w:t>In addition to existing federal and state rules</w:t>
      </w:r>
      <w:r w:rsidR="00CE05AA" w:rsidRPr="00F272D4">
        <w:rPr>
          <w:rFonts w:asciiTheme="minorHAnsi" w:hAnsiTheme="minorHAnsi" w:cstheme="minorHAnsi"/>
          <w:szCs w:val="24"/>
        </w:rPr>
        <w:t xml:space="preserve"> </w:t>
      </w:r>
      <w:r w:rsidR="00621B0D">
        <w:rPr>
          <w:rFonts w:asciiTheme="minorHAnsi" w:hAnsiTheme="minorHAnsi" w:cstheme="minorHAnsi"/>
          <w:szCs w:val="24"/>
        </w:rPr>
        <w:t>used to model 2028 RPGs described earlier, emission</w:t>
      </w:r>
      <w:r w:rsidR="00EE6B12">
        <w:rPr>
          <w:rFonts w:asciiTheme="minorHAnsi" w:hAnsiTheme="minorHAnsi" w:cstheme="minorHAnsi"/>
          <w:szCs w:val="24"/>
        </w:rPr>
        <w:t xml:space="preserve"> </w:t>
      </w:r>
      <w:r w:rsidR="00621B0D">
        <w:rPr>
          <w:rFonts w:asciiTheme="minorHAnsi" w:hAnsiTheme="minorHAnsi" w:cstheme="minorHAnsi"/>
          <w:szCs w:val="24"/>
        </w:rPr>
        <w:t>limits and schedules of compliance include</w:t>
      </w:r>
      <w:r w:rsidR="00413D67">
        <w:rPr>
          <w:rFonts w:asciiTheme="minorHAnsi" w:hAnsiTheme="minorHAnsi" w:cstheme="minorHAnsi"/>
          <w:szCs w:val="24"/>
        </w:rPr>
        <w:t>:</w:t>
      </w:r>
    </w:p>
    <w:p w14:paraId="0B35A16A" w14:textId="18ABF397" w:rsidR="00F272D4" w:rsidRDefault="00F272D4" w:rsidP="00EE6B12">
      <w:pPr>
        <w:pStyle w:val="Paragraph"/>
        <w:ind w:left="720"/>
      </w:pPr>
      <w:r w:rsidRPr="00413D67">
        <w:t>TranAlta’s Centralia</w:t>
      </w:r>
      <w:r w:rsidR="00EE6B12">
        <w:t xml:space="preserve"> Power Plant</w:t>
      </w:r>
      <w:r w:rsidR="00413D67">
        <w:t xml:space="preserve"> </w:t>
      </w:r>
      <w:r w:rsidR="00EE6B12">
        <w:t xml:space="preserve">2020 BART Order with reduced </w:t>
      </w:r>
      <w:r w:rsidR="00413D67" w:rsidRPr="00413D67">
        <w:t>NOx</w:t>
      </w:r>
      <w:r w:rsidR="00172748">
        <w:t xml:space="preserve"> </w:t>
      </w:r>
      <w:r w:rsidR="00EE6B12">
        <w:t>emissions and scheduled compliance dates to cease burning coal, described earlier</w:t>
      </w:r>
    </w:p>
    <w:p w14:paraId="43238203" w14:textId="10FEF1E9" w:rsidR="00827B5E" w:rsidRPr="00413D67" w:rsidRDefault="00EE6B12" w:rsidP="00EE6B12">
      <w:pPr>
        <w:pStyle w:val="Paragraph"/>
        <w:ind w:left="720"/>
      </w:pPr>
      <w:r>
        <w:t>Cardinal G</w:t>
      </w:r>
      <w:r w:rsidR="00827B5E">
        <w:t>lass</w:t>
      </w:r>
      <w:r w:rsidR="00172748">
        <w:t>, NO</w:t>
      </w:r>
      <w:r w:rsidR="00172748">
        <w:rPr>
          <w:vertAlign w:val="subscript"/>
        </w:rPr>
        <w:t xml:space="preserve">x </w:t>
      </w:r>
      <w:r w:rsidR="00172748" w:rsidRPr="00172748">
        <w:t>reductions</w:t>
      </w:r>
      <w:r w:rsidR="00172748">
        <w:t xml:space="preserve"> </w:t>
      </w:r>
      <w:r w:rsidR="00BF2E15">
        <w:t>from installation of an SCR</w:t>
      </w:r>
    </w:p>
    <w:p w14:paraId="6B23F42A" w14:textId="087C895A" w:rsidR="00F272D4" w:rsidRDefault="00EE6B12" w:rsidP="00EE6B12">
      <w:pPr>
        <w:pStyle w:val="Paragraph"/>
        <w:ind w:left="720"/>
      </w:pPr>
      <w:r>
        <w:t>Ozone and c</w:t>
      </w:r>
      <w:r w:rsidR="00F272D4" w:rsidRPr="00F272D4">
        <w:t xml:space="preserve">oarse </w:t>
      </w:r>
      <w:r>
        <w:t>p</w:t>
      </w:r>
      <w:r w:rsidR="00F272D4" w:rsidRPr="00F272D4">
        <w:t xml:space="preserve">articulate </w:t>
      </w:r>
      <w:r>
        <w:t>m</w:t>
      </w:r>
      <w:r w:rsidR="00F272D4" w:rsidRPr="00F272D4">
        <w:t>atter (PM10) SIP requirements</w:t>
      </w:r>
    </w:p>
    <w:p w14:paraId="25D8C386" w14:textId="78795112" w:rsidR="003A4356" w:rsidRDefault="003A4356" w:rsidP="00EE6B12">
      <w:pPr>
        <w:pStyle w:val="Paragraph"/>
        <w:ind w:left="720"/>
      </w:pPr>
      <w:r>
        <w:t>Woodstove and other solid fuel burning device regulations</w:t>
      </w:r>
    </w:p>
    <w:p w14:paraId="0525068F" w14:textId="4A3F30A8" w:rsidR="003A4356" w:rsidRDefault="003A4356" w:rsidP="00EE6B12">
      <w:pPr>
        <w:pStyle w:val="Paragraph"/>
        <w:ind w:left="720"/>
      </w:pPr>
      <w:r>
        <w:t>General smoke standards in WAC 173-433-130</w:t>
      </w:r>
    </w:p>
    <w:p w14:paraId="339DDD4A" w14:textId="58933836" w:rsidR="003A4356" w:rsidRDefault="003A4356" w:rsidP="00EE6B12">
      <w:pPr>
        <w:pStyle w:val="Paragraph"/>
        <w:ind w:left="720"/>
      </w:pPr>
      <w:r>
        <w:t>Burn bans in WAC 173-433-150</w:t>
      </w:r>
    </w:p>
    <w:p w14:paraId="005F06C4" w14:textId="5377AC40" w:rsidR="003A4356" w:rsidRPr="006E2291" w:rsidRDefault="003A4356" w:rsidP="00EE6B12">
      <w:pPr>
        <w:pStyle w:val="Paragraph"/>
        <w:ind w:left="720"/>
      </w:pPr>
      <w:r>
        <w:t>Prohibited fuel types and regulations on selling, exchanging or giving away an uncertified wood stove or solid fuel burning devices in WAC 173-433-120</w:t>
      </w:r>
    </w:p>
    <w:p w14:paraId="3853B812" w14:textId="3DD5F071" w:rsidR="007F47CE" w:rsidRDefault="007F47CE" w:rsidP="00CC45DD">
      <w:pPr>
        <w:pStyle w:val="Heading5"/>
      </w:pPr>
      <w:bookmarkStart w:id="21" w:name="_Toc51679897"/>
      <w:r w:rsidRPr="004578FE">
        <w:lastRenderedPageBreak/>
        <w:t xml:space="preserve">Source retirement </w:t>
      </w:r>
      <w:r w:rsidRPr="00271BA0">
        <w:t>and</w:t>
      </w:r>
      <w:r w:rsidRPr="004578FE">
        <w:t xml:space="preserve"> replacement schedules</w:t>
      </w:r>
      <w:r w:rsidR="00CE05AA">
        <w:t xml:space="preserve"> </w:t>
      </w:r>
      <w:r w:rsidR="00826449">
        <w:t>(40 CFR 51.308(d)(3)(v)(D)).</w:t>
      </w:r>
      <w:bookmarkEnd w:id="21"/>
    </w:p>
    <w:p w14:paraId="68B3E125" w14:textId="7061033A" w:rsidR="00172748" w:rsidRPr="00271BA0" w:rsidRDefault="00172748" w:rsidP="00271BA0">
      <w:pPr>
        <w:pStyle w:val="Paragraph"/>
      </w:pPr>
      <w:r w:rsidRPr="00271BA0">
        <w:t>TranAlta’s Centralia Power Plant bo</w:t>
      </w:r>
      <w:r w:rsidR="00427004" w:rsidRPr="00271BA0">
        <w:t>iler number one will cease coal-</w:t>
      </w:r>
      <w:r w:rsidRPr="00271BA0">
        <w:t xml:space="preserve">fired energy production by the end </w:t>
      </w:r>
      <w:r w:rsidR="00427004" w:rsidRPr="00271BA0">
        <w:t xml:space="preserve">of December 2020. The entire facility will cease coal-fired operation by the end of </w:t>
      </w:r>
      <w:r w:rsidRPr="00271BA0">
        <w:t>will end in 2025. The 2020 BART Order reduces NO</w:t>
      </w:r>
      <w:r w:rsidRPr="00271BA0">
        <w:rPr>
          <w:vertAlign w:val="subscript"/>
        </w:rPr>
        <w:t xml:space="preserve">x </w:t>
      </w:r>
      <w:r w:rsidR="008321E4" w:rsidRPr="00271BA0">
        <w:t>levels until coal-</w:t>
      </w:r>
      <w:r w:rsidR="00271BA0" w:rsidRPr="00271BA0">
        <w:t>fired production ceases</w:t>
      </w:r>
      <w:r w:rsidRPr="00271BA0">
        <w:t>.</w:t>
      </w:r>
    </w:p>
    <w:p w14:paraId="195DEC01" w14:textId="6668EC43" w:rsidR="007F47CE" w:rsidRPr="004578FE" w:rsidRDefault="007F47CE" w:rsidP="00730990">
      <w:pPr>
        <w:pStyle w:val="Heading5"/>
      </w:pPr>
      <w:bookmarkStart w:id="22" w:name="_Toc51679898"/>
      <w:r w:rsidRPr="004578FE">
        <w:t>Smoke management techniques for agriculture and forestry management purposes including plans as they currently exist within the state for these purposes</w:t>
      </w:r>
      <w:r w:rsidR="00826449">
        <w:t xml:space="preserve"> (40 CFR 51.308(d)(3)(v)(E)).</w:t>
      </w:r>
      <w:bookmarkEnd w:id="22"/>
      <w:r w:rsidRPr="004578FE">
        <w:t xml:space="preserve"> </w:t>
      </w:r>
    </w:p>
    <w:p w14:paraId="2EF69489" w14:textId="68CF794B" w:rsidR="007F47CE" w:rsidRPr="004578FE" w:rsidRDefault="007F47CE" w:rsidP="00CD0005">
      <w:pPr>
        <w:pStyle w:val="Paragraph"/>
      </w:pPr>
      <w:r w:rsidRPr="004578FE">
        <w:t>Under Washington State law, Ecology and the local air agencies have authority to regulate agricultural burning</w:t>
      </w:r>
      <w:r w:rsidR="00D06345">
        <w:t xml:space="preserve"> (WAC 173-430)</w:t>
      </w:r>
      <w:r w:rsidRPr="004578FE">
        <w:t>.</w:t>
      </w:r>
      <w:r w:rsidR="003E0837">
        <w:t xml:space="preserve"> </w:t>
      </w:r>
      <w:r w:rsidRPr="004578FE">
        <w:t>The state has established controls for agricultural burning to minimize adverse health and environmental impacts.</w:t>
      </w:r>
      <w:r w:rsidR="003E0837">
        <w:t xml:space="preserve"> </w:t>
      </w:r>
      <w:r w:rsidRPr="004578FE">
        <w:t>The state works with a variety of stakeholders including agricultural</w:t>
      </w:r>
      <w:r w:rsidR="00E31711">
        <w:t xml:space="preserve"> burners, agricultural interest</w:t>
      </w:r>
      <w:r w:rsidRPr="004578FE">
        <w:t xml:space="preserve"> groups, and air quality interest groups to encourage development, research, and u</w:t>
      </w:r>
      <w:r w:rsidR="00FF1A1C">
        <w:t>se of alternatives to burning.</w:t>
      </w:r>
    </w:p>
    <w:p w14:paraId="6E568F4F" w14:textId="1480FCD8" w:rsidR="0015791B" w:rsidRPr="004578FE" w:rsidRDefault="00347C71" w:rsidP="00CD0005">
      <w:pPr>
        <w:pStyle w:val="Paragraph"/>
      </w:pPr>
      <w:r>
        <w:t xml:space="preserve">As part of the regional haze long term strategy, </w:t>
      </w:r>
      <w:r w:rsidR="00BF6C17" w:rsidRPr="00BF6C17">
        <w:t xml:space="preserve">Washington is required to consider basic smoke management practices for prescribed fire used for agricultural and wildland vegetation (silvicultural) management purposes and smoke management programs (40 CFR Section 51.308(f)(2)(iv)(D)). </w:t>
      </w:r>
      <w:r w:rsidR="00D216E2">
        <w:t xml:space="preserve">In </w:t>
      </w:r>
      <w:r w:rsidR="00BF6C17" w:rsidRPr="00BF6C17">
        <w:t xml:space="preserve">Washington State </w:t>
      </w:r>
      <w:r w:rsidR="00D216E2">
        <w:t xml:space="preserve">the </w:t>
      </w:r>
      <w:r w:rsidR="00BF6C17" w:rsidRPr="00BF6C17">
        <w:t>Department of Natural Resources (DNR) issues silvicultural burning permits according to the regulatory direction provided in July 2019 DNR</w:t>
      </w:r>
      <w:r w:rsidR="00AA4031">
        <w:t xml:space="preserve"> Silvicultural</w:t>
      </w:r>
      <w:r w:rsidR="00BF6C17" w:rsidRPr="00BF6C17">
        <w:t xml:space="preserve"> Smoke Management Plan (SMP) (https://www.dnr.wa.gov/publications/amp_sepa_other_smpupdate_smp.pdf). The goal of the plan is to coordinate and facilitate statewide regulation of silvicultural burning on lands under DNR jurisdiction, and on unimproved federally managed forestlands and participating tribal lands. DNR SMP’s strategy is to balance the protection of public health and visibility with the need for silvicultural burning to improve ecosystem health and reduce the damaging effects of catastrophic wildfires. </w:t>
      </w:r>
      <w:r w:rsidR="00181C71">
        <w:t>P</w:t>
      </w:r>
      <w:r w:rsidR="007F47CE" w:rsidRPr="004578FE">
        <w:t xml:space="preserve">rescribed </w:t>
      </w:r>
      <w:r w:rsidR="00BF6C17">
        <w:t>silvicultural burning</w:t>
      </w:r>
      <w:r w:rsidR="007F47CE" w:rsidRPr="004578FE">
        <w:t xml:space="preserve"> is a</w:t>
      </w:r>
      <w:r w:rsidR="00181C71">
        <w:t>n</w:t>
      </w:r>
      <w:r w:rsidR="007F47CE" w:rsidRPr="004578FE">
        <w:t xml:space="preserve"> </w:t>
      </w:r>
      <w:r w:rsidR="00181C71">
        <w:t xml:space="preserve">area </w:t>
      </w:r>
      <w:r w:rsidR="007F47CE" w:rsidRPr="004578FE">
        <w:t>source</w:t>
      </w:r>
      <w:r w:rsidR="00A83796">
        <w:t xml:space="preserve"> and prescribed burn plumes </w:t>
      </w:r>
      <w:r w:rsidR="00D216E2">
        <w:t xml:space="preserve">can </w:t>
      </w:r>
      <w:r w:rsidR="00A83796">
        <w:t xml:space="preserve">have significant impacts on visibility. Washington </w:t>
      </w:r>
      <w:r w:rsidR="007F47CE" w:rsidRPr="004578FE">
        <w:t>proactively addressed this source in its RAVI SIP.</w:t>
      </w:r>
      <w:r w:rsidR="003E0837">
        <w:t xml:space="preserve"> </w:t>
      </w:r>
      <w:r w:rsidR="007F47CE" w:rsidRPr="004578FE">
        <w:t>Washington incorporated the state’s SMP into the September 1999 revisions to the RAVI SIP</w:t>
      </w:r>
      <w:r w:rsidR="00292106">
        <w:t xml:space="preserve"> and EPA approved the SMP into the SIP in 2003</w:t>
      </w:r>
      <w:r w:rsidR="007F47CE" w:rsidRPr="004578FE">
        <w:t>.</w:t>
      </w:r>
      <w:r w:rsidR="0018700E">
        <w:t xml:space="preserve"> DNR is currently revising and </w:t>
      </w:r>
      <w:r w:rsidR="00292106">
        <w:t>preparing to update</w:t>
      </w:r>
      <w:r w:rsidR="0018700E">
        <w:t xml:space="preserve"> the SMP</w:t>
      </w:r>
      <w:r w:rsidR="00292106">
        <w:t xml:space="preserve"> in the SIP</w:t>
      </w:r>
      <w:r w:rsidR="003A4356">
        <w:t xml:space="preserve"> and </w:t>
      </w:r>
      <w:r w:rsidR="00292106">
        <w:t xml:space="preserve">we will update that progress in </w:t>
      </w:r>
      <w:r w:rsidR="003A4356">
        <w:t>the 2025 RH Progress report</w:t>
      </w:r>
      <w:r w:rsidR="0018700E">
        <w:t>.</w:t>
      </w:r>
    </w:p>
    <w:p w14:paraId="33FCF985" w14:textId="7CFA71F5" w:rsidR="007F47CE" w:rsidRPr="004578FE" w:rsidRDefault="007F47CE" w:rsidP="00730990">
      <w:pPr>
        <w:pStyle w:val="Heading5"/>
      </w:pPr>
      <w:bookmarkStart w:id="23" w:name="_Toc51679899"/>
      <w:r w:rsidRPr="004578FE">
        <w:t>Enforceability of emission limitations a</w:t>
      </w:r>
      <w:r w:rsidR="00651100">
        <w:t>nd control measures</w:t>
      </w:r>
      <w:r w:rsidR="00826449">
        <w:t xml:space="preserve"> (40 CFR 51.308(d)(3)(v)(F)).</w:t>
      </w:r>
      <w:bookmarkEnd w:id="23"/>
    </w:p>
    <w:p w14:paraId="2CCFFF5B" w14:textId="53ACE444" w:rsidR="007F47CE" w:rsidRPr="004578FE" w:rsidRDefault="007F47CE" w:rsidP="00CD0005">
      <w:pPr>
        <w:pStyle w:val="Paragraph"/>
      </w:pPr>
      <w:r w:rsidRPr="004578FE">
        <w:t xml:space="preserve">Emission limits on stationary point sources are enforceable as a matter of state law. </w:t>
      </w:r>
      <w:r w:rsidR="00787CC8">
        <w:t>T</w:t>
      </w:r>
      <w:r w:rsidRPr="004578FE">
        <w:t>he following rules</w:t>
      </w:r>
      <w:r w:rsidR="00787CC8">
        <w:t xml:space="preserve"> contain </w:t>
      </w:r>
      <w:r w:rsidR="004C54D0">
        <w:t>the authority to require proper operation and maintenance of control equipment</w:t>
      </w:r>
      <w:r w:rsidRPr="004578FE">
        <w:t xml:space="preserve">: </w:t>
      </w:r>
    </w:p>
    <w:p w14:paraId="5FEE4190" w14:textId="67A0A867" w:rsidR="007F47CE" w:rsidRPr="004578FE" w:rsidRDefault="007F47CE" w:rsidP="00F042A0">
      <w:pPr>
        <w:pStyle w:val="Paragraph"/>
        <w:ind w:left="720"/>
      </w:pPr>
      <w:r w:rsidRPr="004578FE">
        <w:t>Chapter 173-400 Washington Administrative Code (WAC), General regulations for air pollution sources</w:t>
      </w:r>
    </w:p>
    <w:p w14:paraId="52562680" w14:textId="77777777" w:rsidR="007F47CE" w:rsidRPr="004578FE" w:rsidRDefault="007F47CE" w:rsidP="00F042A0">
      <w:pPr>
        <w:pStyle w:val="Paragraph"/>
        <w:ind w:left="720"/>
      </w:pPr>
      <w:r w:rsidRPr="004578FE">
        <w:t>Chapter 173-401 WAC, Operating permit regulation</w:t>
      </w:r>
    </w:p>
    <w:p w14:paraId="4E0FD9A3" w14:textId="77777777" w:rsidR="007F47CE" w:rsidRPr="004578FE" w:rsidRDefault="007F47CE" w:rsidP="00F042A0">
      <w:pPr>
        <w:pStyle w:val="Paragraph"/>
        <w:ind w:left="720"/>
      </w:pPr>
      <w:r w:rsidRPr="004578FE">
        <w:t>Chapter 173-405 WAC, Kraft pulping mills</w:t>
      </w:r>
    </w:p>
    <w:p w14:paraId="511D1396" w14:textId="77777777" w:rsidR="007F47CE" w:rsidRPr="004578FE" w:rsidRDefault="007F47CE" w:rsidP="00F042A0">
      <w:pPr>
        <w:pStyle w:val="Paragraph"/>
        <w:ind w:left="720"/>
      </w:pPr>
      <w:r w:rsidRPr="004578FE">
        <w:t>Chapter 173-410 WAC, Sulfite pulping mills</w:t>
      </w:r>
    </w:p>
    <w:p w14:paraId="6385455F" w14:textId="77777777" w:rsidR="007F47CE" w:rsidRPr="004578FE" w:rsidRDefault="007F47CE" w:rsidP="00F042A0">
      <w:pPr>
        <w:pStyle w:val="Paragraph"/>
        <w:ind w:left="720"/>
      </w:pPr>
      <w:r w:rsidRPr="004578FE">
        <w:lastRenderedPageBreak/>
        <w:t>Chapter 173-415 WAC, Primary aluminum plants</w:t>
      </w:r>
    </w:p>
    <w:p w14:paraId="0AC32C3A" w14:textId="77777777" w:rsidR="007F47CE" w:rsidRPr="004578FE" w:rsidRDefault="007F47CE" w:rsidP="00F042A0">
      <w:pPr>
        <w:pStyle w:val="Paragraph"/>
        <w:ind w:left="720"/>
      </w:pPr>
      <w:r w:rsidRPr="004578FE">
        <w:t>Chapter 173-434 WAC, Solid waste incinerator facilities</w:t>
      </w:r>
    </w:p>
    <w:p w14:paraId="7C8450F5" w14:textId="685963F6" w:rsidR="007F47CE" w:rsidRDefault="007F47CE" w:rsidP="00F042A0">
      <w:pPr>
        <w:pStyle w:val="Paragraph"/>
        <w:ind w:left="720"/>
      </w:pPr>
      <w:r w:rsidRPr="004578FE">
        <w:t>Local air</w:t>
      </w:r>
      <w:r w:rsidR="00730990">
        <w:t xml:space="preserve"> agency rules for point sources</w:t>
      </w:r>
    </w:p>
    <w:p w14:paraId="4616E83E" w14:textId="6D67A407" w:rsidR="00280F19" w:rsidRPr="004578FE" w:rsidRDefault="003A7477" w:rsidP="00F042A0">
      <w:pPr>
        <w:pStyle w:val="Paragraph"/>
        <w:ind w:left="720"/>
      </w:pPr>
      <w:r>
        <w:t>Woodstove emission limits on new stoves</w:t>
      </w:r>
    </w:p>
    <w:p w14:paraId="2DC7FBFA" w14:textId="01A0FFC9" w:rsidR="007F47CE" w:rsidRPr="004578FE" w:rsidRDefault="007F47CE" w:rsidP="00CD0005">
      <w:pPr>
        <w:pStyle w:val="Paragraph"/>
      </w:pPr>
      <w:r w:rsidRPr="004578FE">
        <w:t>Ecology and local air agencies rely on field inspections to ensure compliance with the requirements. Existing federal and state rules are enforceable by the agency issuing the rules.</w:t>
      </w:r>
    </w:p>
    <w:p w14:paraId="4E053A8F" w14:textId="047DC147" w:rsidR="007F47CE" w:rsidRPr="004578FE" w:rsidRDefault="007F47CE" w:rsidP="00730990">
      <w:pPr>
        <w:pStyle w:val="Heading5"/>
      </w:pPr>
      <w:bookmarkStart w:id="24" w:name="_Toc51679900"/>
      <w:r w:rsidRPr="00C627C8">
        <w:t>The</w:t>
      </w:r>
      <w:r w:rsidRPr="004578FE">
        <w:t xml:space="preserve"> anticipated net effect on visibility due to projected changes in point, area, and mobile source emissions over the </w:t>
      </w:r>
      <w:r w:rsidR="00BF1A99">
        <w:t>second</w:t>
      </w:r>
      <w:r w:rsidR="00BF1A99" w:rsidRPr="004578FE">
        <w:t xml:space="preserve"> </w:t>
      </w:r>
      <w:r w:rsidRPr="004578FE">
        <w:t>control period which ends in 20</w:t>
      </w:r>
      <w:r w:rsidR="00BF1A99">
        <w:t>2</w:t>
      </w:r>
      <w:r w:rsidR="00826449">
        <w:t>8</w:t>
      </w:r>
      <w:r w:rsidR="00826449" w:rsidRPr="00826449">
        <w:t xml:space="preserve"> </w:t>
      </w:r>
      <w:r w:rsidR="00E015A3">
        <w:t>(40 CFR 51.308(d)(3)(v)(G</w:t>
      </w:r>
      <w:r w:rsidR="00826449">
        <w:t>)).</w:t>
      </w:r>
      <w:bookmarkEnd w:id="24"/>
    </w:p>
    <w:p w14:paraId="06FC30E8" w14:textId="4526C66E" w:rsidR="007F47CE" w:rsidRPr="00FF1A1C" w:rsidRDefault="00E43608" w:rsidP="00FF1A1C">
      <w:pPr>
        <w:pStyle w:val="Paragraph"/>
      </w:pPr>
      <w:r>
        <w:t>Ecology used t</w:t>
      </w:r>
      <w:r w:rsidR="007F47CE" w:rsidRPr="004578FE">
        <w:t>he WRAP modeled inventory</w:t>
      </w:r>
      <w:r w:rsidR="000E6F02">
        <w:t xml:space="preserve"> </w:t>
      </w:r>
      <w:r w:rsidR="007F47CE" w:rsidRPr="004578FE">
        <w:t>for this SIP to determine the expected net effect of projected changes to visibility due to emission changes over the control period for the</w:t>
      </w:r>
      <w:r w:rsidR="007F7041">
        <w:t xml:space="preserve"> second</w:t>
      </w:r>
      <w:r w:rsidR="007F47CE" w:rsidRPr="004578FE">
        <w:t xml:space="preserve"> RH SIP ending in 20</w:t>
      </w:r>
      <w:r w:rsidR="007F7041">
        <w:t>2</w:t>
      </w:r>
      <w:r w:rsidR="007F47CE" w:rsidRPr="004578FE">
        <w:t>8.</w:t>
      </w:r>
      <w:r w:rsidR="003E0837">
        <w:t xml:space="preserve"> </w:t>
      </w:r>
      <w:r w:rsidR="007F47CE" w:rsidRPr="004578FE">
        <w:t xml:space="preserve">The effects reflect the implementation of </w:t>
      </w:r>
      <w:r w:rsidR="007F47CE" w:rsidRPr="002F48DA">
        <w:t xml:space="preserve">controls on the </w:t>
      </w:r>
      <w:r w:rsidR="002F48DA">
        <w:t>books</w:t>
      </w:r>
    </w:p>
    <w:p w14:paraId="58C74E81" w14:textId="25176EA9" w:rsidR="007F47CE" w:rsidRPr="00FF1A1C" w:rsidRDefault="005814A1" w:rsidP="00FF1A1C">
      <w:pPr>
        <w:pStyle w:val="Paragraph"/>
        <w:rPr>
          <w:b/>
        </w:rPr>
      </w:pPr>
      <w:r>
        <w:t xml:space="preserve">Table 2 </w:t>
      </w:r>
      <w:r w:rsidR="007F47CE" w:rsidRPr="004578FE">
        <w:t>below presents the net effects of e</w:t>
      </w:r>
      <w:r w:rsidR="00FF1A1C">
        <w:t xml:space="preserve">mission changes on visibility. </w:t>
      </w:r>
      <w:r w:rsidR="007F47CE" w:rsidRPr="004578FE">
        <w:t>The net e</w:t>
      </w:r>
      <w:r w:rsidR="003777A5">
        <w:t>ffect for the MID</w:t>
      </w:r>
      <w:r w:rsidR="007F47CE" w:rsidRPr="004578FE">
        <w:t xml:space="preserve"> was considered in establishing RPGs for Washington’s mandatory </w:t>
      </w:r>
      <w:r w:rsidR="00636B42">
        <w:t>CIA</w:t>
      </w:r>
      <w:r w:rsidR="00FF1A1C">
        <w:t xml:space="preserve">. </w:t>
      </w:r>
      <w:r w:rsidR="007F47CE" w:rsidRPr="004578FE">
        <w:t xml:space="preserve">The modeling results for the </w:t>
      </w:r>
      <w:r w:rsidR="003777A5">
        <w:t>c</w:t>
      </w:r>
      <w:r w:rsidR="00636B42">
        <w:t>learest</w:t>
      </w:r>
      <w:r w:rsidR="003777A5">
        <w:t xml:space="preserve"> d</w:t>
      </w:r>
      <w:r w:rsidR="007F47CE" w:rsidRPr="004578FE">
        <w:t>ays</w:t>
      </w:r>
      <w:r w:rsidR="007F47CE" w:rsidRPr="004578FE" w:rsidDel="008D29A9">
        <w:t xml:space="preserve"> </w:t>
      </w:r>
      <w:r w:rsidR="007F47CE" w:rsidRPr="004578FE">
        <w:t xml:space="preserve">show that </w:t>
      </w:r>
      <w:r w:rsidR="00277DCA">
        <w:t xml:space="preserve">we can meet </w:t>
      </w:r>
      <w:r w:rsidR="007F47CE" w:rsidRPr="004578FE">
        <w:t>the n</w:t>
      </w:r>
      <w:r w:rsidR="00FF1A1C">
        <w:t>o degradation goal.</w:t>
      </w:r>
    </w:p>
    <w:p w14:paraId="37F2D640" w14:textId="0772A943" w:rsidR="00AB4FB8" w:rsidRPr="004578FE" w:rsidRDefault="00AB4FB8" w:rsidP="00E75CBE">
      <w:pPr>
        <w:pStyle w:val="TableCaption"/>
        <w:rPr>
          <w:rFonts w:asciiTheme="minorHAnsi" w:hAnsiTheme="minorHAnsi" w:cstheme="minorHAnsi"/>
          <w:szCs w:val="24"/>
        </w:rPr>
      </w:pPr>
      <w:bookmarkStart w:id="25" w:name="_Ref45539889"/>
      <w:r>
        <w:t xml:space="preserve">Table </w:t>
      </w:r>
      <w:r w:rsidR="00445014">
        <w:rPr>
          <w:noProof/>
        </w:rPr>
        <w:fldChar w:fldCharType="begin"/>
      </w:r>
      <w:r w:rsidR="00445014">
        <w:rPr>
          <w:noProof/>
        </w:rPr>
        <w:instrText xml:space="preserve"> SEQ Table \* ARABIC </w:instrText>
      </w:r>
      <w:r w:rsidR="00445014">
        <w:rPr>
          <w:noProof/>
        </w:rPr>
        <w:fldChar w:fldCharType="separate"/>
      </w:r>
      <w:r w:rsidR="00DD5E73">
        <w:rPr>
          <w:noProof/>
        </w:rPr>
        <w:t>2</w:t>
      </w:r>
      <w:r w:rsidR="00445014">
        <w:rPr>
          <w:noProof/>
        </w:rPr>
        <w:fldChar w:fldCharType="end"/>
      </w:r>
      <w:bookmarkEnd w:id="25"/>
      <w:r>
        <w:t xml:space="preserve">: </w:t>
      </w:r>
      <w:r w:rsidR="00E75CBE">
        <w:t>Anticipated net effect on v</w:t>
      </w:r>
      <w:r w:rsidRPr="002259F0">
        <w:t xml:space="preserve">isibility of </w:t>
      </w:r>
      <w:r w:rsidR="00E75CBE">
        <w:t>e</w:t>
      </w:r>
      <w:r w:rsidRPr="002259F0">
        <w:t xml:space="preserve">mission </w:t>
      </w:r>
      <w:r w:rsidR="00E75CBE">
        <w:t>r</w:t>
      </w:r>
      <w:r w:rsidRPr="002259F0">
        <w:t>eductions over t</w:t>
      </w:r>
      <w:r w:rsidR="00E75CBE">
        <w:t>he second control period for MID</w:t>
      </w:r>
    </w:p>
    <w:tbl>
      <w:tblPr>
        <w:tblW w:w="9540" w:type="dxa"/>
        <w:tblInd w:w="-10" w:type="dxa"/>
        <w:tblLook w:val="04A0" w:firstRow="1" w:lastRow="0" w:firstColumn="1" w:lastColumn="0" w:noHBand="0" w:noVBand="1"/>
        <w:tblCaption w:val="Anticipated net effect on visibility of emission reductions over the second control period for MID"/>
      </w:tblPr>
      <w:tblGrid>
        <w:gridCol w:w="5130"/>
        <w:gridCol w:w="1260"/>
        <w:gridCol w:w="1530"/>
        <w:gridCol w:w="1620"/>
      </w:tblGrid>
      <w:tr w:rsidR="00AB4FB8" w:rsidRPr="00AB4FB8" w14:paraId="4A05A7D6" w14:textId="77777777" w:rsidTr="00E75CBE">
        <w:trPr>
          <w:trHeight w:val="1068"/>
        </w:trPr>
        <w:tc>
          <w:tcPr>
            <w:tcW w:w="5130" w:type="dxa"/>
            <w:tcBorders>
              <w:top w:val="single" w:sz="8" w:space="0" w:color="auto"/>
              <w:left w:val="single" w:sz="8" w:space="0" w:color="auto"/>
              <w:bottom w:val="single" w:sz="8" w:space="0" w:color="auto"/>
              <w:right w:val="single" w:sz="8" w:space="0" w:color="auto"/>
            </w:tcBorders>
            <w:shd w:val="clear" w:color="000000" w:fill="FFFF66"/>
            <w:vAlign w:val="center"/>
            <w:hideMark/>
          </w:tcPr>
          <w:p w14:paraId="1966C1A3" w14:textId="77777777" w:rsidR="00AB4FB8" w:rsidRPr="00AB4FB8" w:rsidRDefault="00AB4FB8">
            <w:pPr>
              <w:spacing w:after="0"/>
              <w:rPr>
                <w:rFonts w:ascii="Arial" w:hAnsi="Arial" w:cs="Arial"/>
                <w:color w:val="000000"/>
                <w:sz w:val="20"/>
              </w:rPr>
            </w:pPr>
            <w:r w:rsidRPr="00AB4FB8">
              <w:rPr>
                <w:rFonts w:ascii="Arial" w:hAnsi="Arial" w:cs="Arial"/>
                <w:color w:val="000000"/>
                <w:sz w:val="20"/>
              </w:rPr>
              <w:t>Class I Area</w:t>
            </w:r>
          </w:p>
        </w:tc>
        <w:tc>
          <w:tcPr>
            <w:tcW w:w="1260" w:type="dxa"/>
            <w:tcBorders>
              <w:top w:val="single" w:sz="8" w:space="0" w:color="auto"/>
              <w:left w:val="nil"/>
              <w:bottom w:val="single" w:sz="8" w:space="0" w:color="auto"/>
              <w:right w:val="single" w:sz="8" w:space="0" w:color="auto"/>
            </w:tcBorders>
            <w:shd w:val="clear" w:color="000000" w:fill="FFFF66"/>
            <w:vAlign w:val="center"/>
            <w:hideMark/>
          </w:tcPr>
          <w:p w14:paraId="161F37B3" w14:textId="66F770F5" w:rsidR="00AB4FB8" w:rsidRPr="00AB4FB8" w:rsidRDefault="00E75CBE" w:rsidP="00BD13E6">
            <w:pPr>
              <w:spacing w:after="0"/>
              <w:jc w:val="center"/>
              <w:rPr>
                <w:rFonts w:ascii="Arial" w:hAnsi="Arial" w:cs="Arial"/>
                <w:color w:val="000000"/>
                <w:sz w:val="20"/>
              </w:rPr>
            </w:pPr>
            <w:r>
              <w:rPr>
                <w:rFonts w:ascii="Arial" w:hAnsi="Arial" w:cs="Arial"/>
                <w:color w:val="000000"/>
                <w:sz w:val="20"/>
              </w:rPr>
              <w:t>2014 to</w:t>
            </w:r>
            <w:r w:rsidR="00AB4FB8" w:rsidRPr="00AB4FB8">
              <w:rPr>
                <w:rFonts w:ascii="Arial" w:hAnsi="Arial" w:cs="Arial"/>
                <w:color w:val="000000"/>
                <w:sz w:val="20"/>
              </w:rPr>
              <w:t xml:space="preserve"> 20</w:t>
            </w:r>
            <w:r w:rsidR="00854212">
              <w:rPr>
                <w:rFonts w:ascii="Arial" w:hAnsi="Arial" w:cs="Arial"/>
                <w:color w:val="000000"/>
                <w:sz w:val="20"/>
              </w:rPr>
              <w:t>1</w:t>
            </w:r>
            <w:r w:rsidR="00AB4FB8" w:rsidRPr="00AB4FB8">
              <w:rPr>
                <w:rFonts w:ascii="Arial" w:hAnsi="Arial" w:cs="Arial"/>
                <w:color w:val="000000"/>
                <w:sz w:val="20"/>
              </w:rPr>
              <w:t>8</w:t>
            </w:r>
          </w:p>
        </w:tc>
        <w:tc>
          <w:tcPr>
            <w:tcW w:w="1530" w:type="dxa"/>
            <w:tcBorders>
              <w:top w:val="single" w:sz="8" w:space="0" w:color="auto"/>
              <w:left w:val="nil"/>
              <w:bottom w:val="single" w:sz="8" w:space="0" w:color="auto"/>
              <w:right w:val="single" w:sz="8" w:space="0" w:color="auto"/>
            </w:tcBorders>
            <w:shd w:val="clear" w:color="000000" w:fill="FFFF66"/>
            <w:vAlign w:val="center"/>
            <w:hideMark/>
          </w:tcPr>
          <w:p w14:paraId="46A88B52" w14:textId="28E8A11D"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2028 Projected Visibility</w:t>
            </w:r>
            <w:r w:rsidR="003E0837">
              <w:rPr>
                <w:rFonts w:ascii="Arial" w:hAnsi="Arial" w:cs="Arial"/>
                <w:color w:val="000000"/>
                <w:sz w:val="20"/>
              </w:rPr>
              <w:t xml:space="preserve"> </w:t>
            </w:r>
            <w:r w:rsidRPr="00AB4FB8">
              <w:rPr>
                <w:rFonts w:ascii="Arial" w:hAnsi="Arial" w:cs="Arial"/>
                <w:color w:val="000000"/>
                <w:sz w:val="20"/>
              </w:rPr>
              <w:t>(dv)</w:t>
            </w:r>
            <w:r w:rsidR="003E0837">
              <w:rPr>
                <w:rFonts w:ascii="Arial" w:hAnsi="Arial" w:cs="Arial"/>
                <w:color w:val="000000"/>
                <w:sz w:val="20"/>
              </w:rPr>
              <w:t xml:space="preserve"> </w:t>
            </w:r>
          </w:p>
        </w:tc>
        <w:tc>
          <w:tcPr>
            <w:tcW w:w="1620" w:type="dxa"/>
            <w:tcBorders>
              <w:top w:val="single" w:sz="8" w:space="0" w:color="auto"/>
              <w:left w:val="nil"/>
              <w:bottom w:val="single" w:sz="8" w:space="0" w:color="auto"/>
              <w:right w:val="single" w:sz="8" w:space="0" w:color="auto"/>
            </w:tcBorders>
            <w:shd w:val="clear" w:color="000000" w:fill="FFFF66"/>
            <w:vAlign w:val="center"/>
            <w:hideMark/>
          </w:tcPr>
          <w:p w14:paraId="4AF59298" w14:textId="77777777" w:rsidR="00AB4FB8" w:rsidRPr="00AB4FB8" w:rsidRDefault="00AB4FB8" w:rsidP="00AA0A00">
            <w:pPr>
              <w:spacing w:after="0"/>
              <w:jc w:val="center"/>
              <w:rPr>
                <w:rFonts w:ascii="Arial" w:hAnsi="Arial" w:cs="Arial"/>
                <w:color w:val="000000"/>
                <w:sz w:val="20"/>
              </w:rPr>
            </w:pPr>
            <w:r w:rsidRPr="00AB4FB8">
              <w:rPr>
                <w:rFonts w:ascii="Arial" w:hAnsi="Arial" w:cs="Arial"/>
                <w:color w:val="000000"/>
                <w:sz w:val="20"/>
              </w:rPr>
              <w:t>Improvement (dv)</w:t>
            </w:r>
          </w:p>
        </w:tc>
      </w:tr>
      <w:tr w:rsidR="00AB4FB8" w:rsidRPr="00AB4FB8" w14:paraId="783F18E9" w14:textId="77777777" w:rsidTr="00E75CBE">
        <w:trPr>
          <w:trHeight w:val="300"/>
        </w:trPr>
        <w:tc>
          <w:tcPr>
            <w:tcW w:w="5130" w:type="dxa"/>
            <w:tcBorders>
              <w:top w:val="nil"/>
              <w:left w:val="single" w:sz="8" w:space="0" w:color="auto"/>
              <w:bottom w:val="single" w:sz="8" w:space="0" w:color="auto"/>
              <w:right w:val="single" w:sz="8" w:space="0" w:color="auto"/>
            </w:tcBorders>
            <w:shd w:val="clear" w:color="auto" w:fill="auto"/>
            <w:vAlign w:val="center"/>
            <w:hideMark/>
          </w:tcPr>
          <w:p w14:paraId="560495AE" w14:textId="77777777" w:rsidR="00AB4FB8" w:rsidRPr="00AB4FB8" w:rsidRDefault="00AB4FB8" w:rsidP="00AB4FB8">
            <w:pPr>
              <w:spacing w:after="0"/>
              <w:rPr>
                <w:rFonts w:ascii="Arial" w:hAnsi="Arial" w:cs="Arial"/>
                <w:color w:val="000000"/>
                <w:sz w:val="20"/>
              </w:rPr>
            </w:pPr>
            <w:r w:rsidRPr="00AB4FB8">
              <w:rPr>
                <w:rFonts w:ascii="Arial" w:hAnsi="Arial" w:cs="Arial"/>
                <w:color w:val="000000"/>
                <w:sz w:val="20"/>
              </w:rPr>
              <w:t>Olympic National Park</w:t>
            </w:r>
          </w:p>
        </w:tc>
        <w:tc>
          <w:tcPr>
            <w:tcW w:w="1260" w:type="dxa"/>
            <w:tcBorders>
              <w:top w:val="nil"/>
              <w:left w:val="nil"/>
              <w:bottom w:val="single" w:sz="8" w:space="0" w:color="auto"/>
              <w:right w:val="single" w:sz="8" w:space="0" w:color="auto"/>
            </w:tcBorders>
            <w:shd w:val="clear" w:color="auto" w:fill="auto"/>
            <w:vAlign w:val="center"/>
            <w:hideMark/>
          </w:tcPr>
          <w:p w14:paraId="08EF255B"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11.9</w:t>
            </w:r>
          </w:p>
        </w:tc>
        <w:tc>
          <w:tcPr>
            <w:tcW w:w="1530" w:type="dxa"/>
            <w:tcBorders>
              <w:top w:val="nil"/>
              <w:left w:val="nil"/>
              <w:bottom w:val="single" w:sz="8" w:space="0" w:color="auto"/>
              <w:right w:val="single" w:sz="8" w:space="0" w:color="auto"/>
            </w:tcBorders>
            <w:shd w:val="clear" w:color="auto" w:fill="auto"/>
            <w:vAlign w:val="center"/>
            <w:hideMark/>
          </w:tcPr>
          <w:p w14:paraId="5978D22C"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11.4</w:t>
            </w:r>
          </w:p>
        </w:tc>
        <w:tc>
          <w:tcPr>
            <w:tcW w:w="1620" w:type="dxa"/>
            <w:tcBorders>
              <w:top w:val="nil"/>
              <w:left w:val="nil"/>
              <w:bottom w:val="single" w:sz="8" w:space="0" w:color="auto"/>
              <w:right w:val="single" w:sz="8" w:space="0" w:color="auto"/>
            </w:tcBorders>
            <w:shd w:val="clear" w:color="auto" w:fill="auto"/>
            <w:vAlign w:val="center"/>
            <w:hideMark/>
          </w:tcPr>
          <w:p w14:paraId="0B23D215"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0.5</w:t>
            </w:r>
          </w:p>
        </w:tc>
      </w:tr>
      <w:tr w:rsidR="00AB4FB8" w:rsidRPr="00AB4FB8" w14:paraId="553C1DF2" w14:textId="77777777" w:rsidTr="00E75CBE">
        <w:trPr>
          <w:trHeight w:val="540"/>
        </w:trPr>
        <w:tc>
          <w:tcPr>
            <w:tcW w:w="5130" w:type="dxa"/>
            <w:tcBorders>
              <w:top w:val="nil"/>
              <w:left w:val="single" w:sz="8" w:space="0" w:color="auto"/>
              <w:bottom w:val="single" w:sz="8" w:space="0" w:color="auto"/>
              <w:right w:val="single" w:sz="8" w:space="0" w:color="auto"/>
            </w:tcBorders>
            <w:shd w:val="clear" w:color="auto" w:fill="auto"/>
            <w:vAlign w:val="center"/>
            <w:hideMark/>
          </w:tcPr>
          <w:p w14:paraId="27ABA612" w14:textId="77777777" w:rsidR="00AB4FB8" w:rsidRPr="00AB4FB8" w:rsidRDefault="00AB4FB8" w:rsidP="00AB4FB8">
            <w:pPr>
              <w:spacing w:after="0"/>
              <w:rPr>
                <w:rFonts w:ascii="Arial" w:hAnsi="Arial" w:cs="Arial"/>
                <w:color w:val="000000"/>
                <w:sz w:val="20"/>
              </w:rPr>
            </w:pPr>
            <w:r w:rsidRPr="00AB4FB8">
              <w:rPr>
                <w:rFonts w:ascii="Arial" w:hAnsi="Arial" w:cs="Arial"/>
                <w:color w:val="000000"/>
                <w:sz w:val="20"/>
              </w:rPr>
              <w:t>North Cascades National Park and Glacier Peak Wilderness</w:t>
            </w:r>
          </w:p>
        </w:tc>
        <w:tc>
          <w:tcPr>
            <w:tcW w:w="1260" w:type="dxa"/>
            <w:tcBorders>
              <w:top w:val="nil"/>
              <w:left w:val="nil"/>
              <w:bottom w:val="single" w:sz="8" w:space="0" w:color="auto"/>
              <w:right w:val="single" w:sz="8" w:space="0" w:color="auto"/>
            </w:tcBorders>
            <w:shd w:val="clear" w:color="auto" w:fill="auto"/>
            <w:vAlign w:val="center"/>
            <w:hideMark/>
          </w:tcPr>
          <w:p w14:paraId="7F0ECB17"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10</w:t>
            </w:r>
          </w:p>
        </w:tc>
        <w:tc>
          <w:tcPr>
            <w:tcW w:w="1530" w:type="dxa"/>
            <w:tcBorders>
              <w:top w:val="nil"/>
              <w:left w:val="nil"/>
              <w:bottom w:val="single" w:sz="8" w:space="0" w:color="auto"/>
              <w:right w:val="single" w:sz="8" w:space="0" w:color="auto"/>
            </w:tcBorders>
            <w:shd w:val="clear" w:color="auto" w:fill="auto"/>
            <w:vAlign w:val="center"/>
            <w:hideMark/>
          </w:tcPr>
          <w:p w14:paraId="7592274A"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9.6</w:t>
            </w:r>
          </w:p>
        </w:tc>
        <w:tc>
          <w:tcPr>
            <w:tcW w:w="1620" w:type="dxa"/>
            <w:tcBorders>
              <w:top w:val="nil"/>
              <w:left w:val="nil"/>
              <w:bottom w:val="single" w:sz="8" w:space="0" w:color="auto"/>
              <w:right w:val="single" w:sz="8" w:space="0" w:color="auto"/>
            </w:tcBorders>
            <w:shd w:val="clear" w:color="auto" w:fill="auto"/>
            <w:vAlign w:val="center"/>
            <w:hideMark/>
          </w:tcPr>
          <w:p w14:paraId="02FA3E7E"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0.4</w:t>
            </w:r>
          </w:p>
        </w:tc>
      </w:tr>
      <w:tr w:rsidR="00AB4FB8" w:rsidRPr="00AB4FB8" w14:paraId="5269C623" w14:textId="77777777" w:rsidTr="00E75CBE">
        <w:trPr>
          <w:trHeight w:val="300"/>
        </w:trPr>
        <w:tc>
          <w:tcPr>
            <w:tcW w:w="5130" w:type="dxa"/>
            <w:tcBorders>
              <w:top w:val="nil"/>
              <w:left w:val="single" w:sz="8" w:space="0" w:color="auto"/>
              <w:bottom w:val="single" w:sz="8" w:space="0" w:color="auto"/>
              <w:right w:val="single" w:sz="8" w:space="0" w:color="auto"/>
            </w:tcBorders>
            <w:shd w:val="clear" w:color="auto" w:fill="auto"/>
            <w:vAlign w:val="center"/>
            <w:hideMark/>
          </w:tcPr>
          <w:p w14:paraId="7E55B344" w14:textId="77777777" w:rsidR="00AB4FB8" w:rsidRPr="00AB4FB8" w:rsidRDefault="00AB4FB8" w:rsidP="00AB4FB8">
            <w:pPr>
              <w:spacing w:after="0"/>
              <w:rPr>
                <w:rFonts w:ascii="Arial" w:hAnsi="Arial" w:cs="Arial"/>
                <w:color w:val="000000"/>
                <w:sz w:val="20"/>
              </w:rPr>
            </w:pPr>
            <w:r w:rsidRPr="00AB4FB8">
              <w:rPr>
                <w:rFonts w:ascii="Arial" w:hAnsi="Arial" w:cs="Arial"/>
                <w:color w:val="000000"/>
                <w:sz w:val="20"/>
              </w:rPr>
              <w:t>Alpine Lakes Wilderness</w:t>
            </w:r>
          </w:p>
        </w:tc>
        <w:tc>
          <w:tcPr>
            <w:tcW w:w="1260" w:type="dxa"/>
            <w:tcBorders>
              <w:top w:val="nil"/>
              <w:left w:val="nil"/>
              <w:bottom w:val="single" w:sz="8" w:space="0" w:color="auto"/>
              <w:right w:val="single" w:sz="8" w:space="0" w:color="auto"/>
            </w:tcBorders>
            <w:shd w:val="clear" w:color="auto" w:fill="auto"/>
            <w:vAlign w:val="center"/>
            <w:hideMark/>
          </w:tcPr>
          <w:p w14:paraId="38CB2D31"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12.7</w:t>
            </w:r>
          </w:p>
        </w:tc>
        <w:tc>
          <w:tcPr>
            <w:tcW w:w="1530" w:type="dxa"/>
            <w:tcBorders>
              <w:top w:val="nil"/>
              <w:left w:val="nil"/>
              <w:bottom w:val="single" w:sz="8" w:space="0" w:color="auto"/>
              <w:right w:val="single" w:sz="8" w:space="0" w:color="auto"/>
            </w:tcBorders>
            <w:shd w:val="clear" w:color="auto" w:fill="auto"/>
            <w:vAlign w:val="center"/>
            <w:hideMark/>
          </w:tcPr>
          <w:p w14:paraId="65918372"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11.8</w:t>
            </w:r>
          </w:p>
        </w:tc>
        <w:tc>
          <w:tcPr>
            <w:tcW w:w="1620" w:type="dxa"/>
            <w:tcBorders>
              <w:top w:val="nil"/>
              <w:left w:val="nil"/>
              <w:bottom w:val="single" w:sz="8" w:space="0" w:color="auto"/>
              <w:right w:val="single" w:sz="8" w:space="0" w:color="auto"/>
            </w:tcBorders>
            <w:shd w:val="clear" w:color="auto" w:fill="auto"/>
            <w:vAlign w:val="center"/>
            <w:hideMark/>
          </w:tcPr>
          <w:p w14:paraId="1A6C93AB"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0.9</w:t>
            </w:r>
          </w:p>
        </w:tc>
      </w:tr>
      <w:tr w:rsidR="00AB4FB8" w:rsidRPr="00AB4FB8" w14:paraId="08C8503F" w14:textId="77777777" w:rsidTr="00E75CBE">
        <w:trPr>
          <w:trHeight w:val="300"/>
        </w:trPr>
        <w:tc>
          <w:tcPr>
            <w:tcW w:w="5130" w:type="dxa"/>
            <w:tcBorders>
              <w:top w:val="nil"/>
              <w:left w:val="single" w:sz="8" w:space="0" w:color="auto"/>
              <w:bottom w:val="single" w:sz="8" w:space="0" w:color="auto"/>
              <w:right w:val="single" w:sz="8" w:space="0" w:color="auto"/>
            </w:tcBorders>
            <w:shd w:val="clear" w:color="auto" w:fill="auto"/>
            <w:vAlign w:val="center"/>
            <w:hideMark/>
          </w:tcPr>
          <w:p w14:paraId="3EE2FD57" w14:textId="77777777" w:rsidR="00AB4FB8" w:rsidRPr="00AB4FB8" w:rsidRDefault="00AB4FB8" w:rsidP="00AB4FB8">
            <w:pPr>
              <w:spacing w:after="0"/>
              <w:rPr>
                <w:rFonts w:ascii="Arial" w:hAnsi="Arial" w:cs="Arial"/>
                <w:color w:val="000000"/>
                <w:sz w:val="20"/>
              </w:rPr>
            </w:pPr>
            <w:r w:rsidRPr="00AB4FB8">
              <w:rPr>
                <w:rFonts w:ascii="Arial" w:hAnsi="Arial" w:cs="Arial"/>
                <w:color w:val="000000"/>
                <w:sz w:val="20"/>
              </w:rPr>
              <w:t xml:space="preserve">Mount Rainier National Park </w:t>
            </w:r>
          </w:p>
        </w:tc>
        <w:tc>
          <w:tcPr>
            <w:tcW w:w="1260" w:type="dxa"/>
            <w:tcBorders>
              <w:top w:val="nil"/>
              <w:left w:val="nil"/>
              <w:bottom w:val="single" w:sz="8" w:space="0" w:color="auto"/>
              <w:right w:val="single" w:sz="8" w:space="0" w:color="auto"/>
            </w:tcBorders>
            <w:shd w:val="clear" w:color="auto" w:fill="auto"/>
            <w:vAlign w:val="center"/>
            <w:hideMark/>
          </w:tcPr>
          <w:p w14:paraId="251DB72B"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12.7</w:t>
            </w:r>
          </w:p>
        </w:tc>
        <w:tc>
          <w:tcPr>
            <w:tcW w:w="1530" w:type="dxa"/>
            <w:tcBorders>
              <w:top w:val="nil"/>
              <w:left w:val="nil"/>
              <w:bottom w:val="single" w:sz="8" w:space="0" w:color="auto"/>
              <w:right w:val="single" w:sz="8" w:space="0" w:color="auto"/>
            </w:tcBorders>
            <w:shd w:val="clear" w:color="auto" w:fill="auto"/>
            <w:vAlign w:val="center"/>
            <w:hideMark/>
          </w:tcPr>
          <w:p w14:paraId="0008A7D2"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11.9</w:t>
            </w:r>
          </w:p>
        </w:tc>
        <w:tc>
          <w:tcPr>
            <w:tcW w:w="1620" w:type="dxa"/>
            <w:tcBorders>
              <w:top w:val="nil"/>
              <w:left w:val="nil"/>
              <w:bottom w:val="single" w:sz="8" w:space="0" w:color="auto"/>
              <w:right w:val="single" w:sz="8" w:space="0" w:color="auto"/>
            </w:tcBorders>
            <w:shd w:val="clear" w:color="auto" w:fill="auto"/>
            <w:vAlign w:val="center"/>
            <w:hideMark/>
          </w:tcPr>
          <w:p w14:paraId="671AC36E"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0.8</w:t>
            </w:r>
          </w:p>
        </w:tc>
      </w:tr>
      <w:tr w:rsidR="00AB4FB8" w:rsidRPr="00AB4FB8" w14:paraId="7B34B6D7" w14:textId="77777777" w:rsidTr="00E75CBE">
        <w:trPr>
          <w:trHeight w:val="540"/>
        </w:trPr>
        <w:tc>
          <w:tcPr>
            <w:tcW w:w="5130" w:type="dxa"/>
            <w:tcBorders>
              <w:top w:val="nil"/>
              <w:left w:val="single" w:sz="8" w:space="0" w:color="auto"/>
              <w:bottom w:val="single" w:sz="8" w:space="0" w:color="auto"/>
              <w:right w:val="single" w:sz="8" w:space="0" w:color="auto"/>
            </w:tcBorders>
            <w:shd w:val="clear" w:color="auto" w:fill="auto"/>
            <w:vAlign w:val="center"/>
            <w:hideMark/>
          </w:tcPr>
          <w:p w14:paraId="07BB369D" w14:textId="77777777" w:rsidR="00AB4FB8" w:rsidRPr="00AB4FB8" w:rsidRDefault="00AB4FB8" w:rsidP="00AB4FB8">
            <w:pPr>
              <w:spacing w:after="0"/>
              <w:rPr>
                <w:rFonts w:ascii="Arial" w:hAnsi="Arial" w:cs="Arial"/>
                <w:color w:val="000000"/>
                <w:sz w:val="20"/>
              </w:rPr>
            </w:pPr>
            <w:r w:rsidRPr="00AB4FB8">
              <w:rPr>
                <w:rFonts w:ascii="Arial" w:hAnsi="Arial" w:cs="Arial"/>
                <w:color w:val="000000"/>
                <w:sz w:val="20"/>
              </w:rPr>
              <w:t>Goat Rocks Wilderness and Mount Adams Wilderness</w:t>
            </w:r>
          </w:p>
        </w:tc>
        <w:tc>
          <w:tcPr>
            <w:tcW w:w="1260" w:type="dxa"/>
            <w:tcBorders>
              <w:top w:val="nil"/>
              <w:left w:val="nil"/>
              <w:bottom w:val="single" w:sz="8" w:space="0" w:color="auto"/>
              <w:right w:val="single" w:sz="8" w:space="0" w:color="auto"/>
            </w:tcBorders>
            <w:shd w:val="clear" w:color="auto" w:fill="auto"/>
            <w:vAlign w:val="center"/>
            <w:hideMark/>
          </w:tcPr>
          <w:p w14:paraId="342AE194"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8</w:t>
            </w:r>
          </w:p>
        </w:tc>
        <w:tc>
          <w:tcPr>
            <w:tcW w:w="1530" w:type="dxa"/>
            <w:tcBorders>
              <w:top w:val="nil"/>
              <w:left w:val="nil"/>
              <w:bottom w:val="single" w:sz="8" w:space="0" w:color="auto"/>
              <w:right w:val="single" w:sz="8" w:space="0" w:color="auto"/>
            </w:tcBorders>
            <w:shd w:val="clear" w:color="auto" w:fill="auto"/>
            <w:vAlign w:val="center"/>
            <w:hideMark/>
          </w:tcPr>
          <w:p w14:paraId="6C1CBB9C"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7.5</w:t>
            </w:r>
          </w:p>
        </w:tc>
        <w:tc>
          <w:tcPr>
            <w:tcW w:w="1620" w:type="dxa"/>
            <w:tcBorders>
              <w:top w:val="nil"/>
              <w:left w:val="nil"/>
              <w:bottom w:val="single" w:sz="8" w:space="0" w:color="auto"/>
              <w:right w:val="single" w:sz="8" w:space="0" w:color="auto"/>
            </w:tcBorders>
            <w:shd w:val="clear" w:color="auto" w:fill="auto"/>
            <w:vAlign w:val="center"/>
            <w:hideMark/>
          </w:tcPr>
          <w:p w14:paraId="25564F80"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0.5</w:t>
            </w:r>
          </w:p>
        </w:tc>
      </w:tr>
      <w:tr w:rsidR="00AB4FB8" w:rsidRPr="00AB4FB8" w14:paraId="21843A92" w14:textId="77777777" w:rsidTr="00E75CBE">
        <w:trPr>
          <w:trHeight w:val="300"/>
        </w:trPr>
        <w:tc>
          <w:tcPr>
            <w:tcW w:w="5130" w:type="dxa"/>
            <w:tcBorders>
              <w:top w:val="nil"/>
              <w:left w:val="single" w:sz="8" w:space="0" w:color="auto"/>
              <w:bottom w:val="single" w:sz="8" w:space="0" w:color="auto"/>
              <w:right w:val="single" w:sz="8" w:space="0" w:color="auto"/>
            </w:tcBorders>
            <w:shd w:val="clear" w:color="auto" w:fill="auto"/>
            <w:vAlign w:val="center"/>
            <w:hideMark/>
          </w:tcPr>
          <w:p w14:paraId="3057520A" w14:textId="77777777" w:rsidR="00AB4FB8" w:rsidRPr="00AB4FB8" w:rsidRDefault="00AB4FB8" w:rsidP="00AB4FB8">
            <w:pPr>
              <w:spacing w:after="0"/>
              <w:rPr>
                <w:rFonts w:ascii="Arial" w:hAnsi="Arial" w:cs="Arial"/>
                <w:color w:val="000000"/>
                <w:sz w:val="20"/>
              </w:rPr>
            </w:pPr>
            <w:r w:rsidRPr="00AB4FB8">
              <w:rPr>
                <w:rFonts w:ascii="Arial" w:hAnsi="Arial" w:cs="Arial"/>
                <w:color w:val="000000"/>
                <w:sz w:val="20"/>
              </w:rPr>
              <w:t>Pasayten Wilderness</w:t>
            </w:r>
          </w:p>
        </w:tc>
        <w:tc>
          <w:tcPr>
            <w:tcW w:w="1260" w:type="dxa"/>
            <w:tcBorders>
              <w:top w:val="nil"/>
              <w:left w:val="nil"/>
              <w:bottom w:val="single" w:sz="8" w:space="0" w:color="auto"/>
              <w:right w:val="single" w:sz="8" w:space="0" w:color="auto"/>
            </w:tcBorders>
            <w:shd w:val="clear" w:color="auto" w:fill="auto"/>
            <w:vAlign w:val="center"/>
            <w:hideMark/>
          </w:tcPr>
          <w:p w14:paraId="20F30DE5"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9.5</w:t>
            </w:r>
          </w:p>
        </w:tc>
        <w:tc>
          <w:tcPr>
            <w:tcW w:w="1530" w:type="dxa"/>
            <w:tcBorders>
              <w:top w:val="nil"/>
              <w:left w:val="nil"/>
              <w:bottom w:val="single" w:sz="8" w:space="0" w:color="auto"/>
              <w:right w:val="single" w:sz="8" w:space="0" w:color="auto"/>
            </w:tcBorders>
            <w:shd w:val="clear" w:color="auto" w:fill="auto"/>
            <w:vAlign w:val="center"/>
            <w:hideMark/>
          </w:tcPr>
          <w:p w14:paraId="2768CFE0"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9.1</w:t>
            </w:r>
          </w:p>
        </w:tc>
        <w:tc>
          <w:tcPr>
            <w:tcW w:w="1620" w:type="dxa"/>
            <w:tcBorders>
              <w:top w:val="nil"/>
              <w:left w:val="nil"/>
              <w:bottom w:val="single" w:sz="8" w:space="0" w:color="auto"/>
              <w:right w:val="single" w:sz="8" w:space="0" w:color="auto"/>
            </w:tcBorders>
            <w:shd w:val="clear" w:color="auto" w:fill="auto"/>
            <w:vAlign w:val="center"/>
            <w:hideMark/>
          </w:tcPr>
          <w:p w14:paraId="7AFB9B5D"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0.4</w:t>
            </w:r>
          </w:p>
        </w:tc>
      </w:tr>
    </w:tbl>
    <w:p w14:paraId="587B629E" w14:textId="0F5B5199" w:rsidR="007C57DF" w:rsidRDefault="007C57DF" w:rsidP="00FF1A1C">
      <w:pPr>
        <w:pStyle w:val="Caption"/>
        <w:spacing w:after="0"/>
      </w:pPr>
    </w:p>
    <w:p w14:paraId="3D560EBC" w14:textId="77777777" w:rsidR="007C57DF" w:rsidRDefault="007C57DF">
      <w:pPr>
        <w:spacing w:after="160" w:line="259" w:lineRule="auto"/>
        <w:rPr>
          <w:rFonts w:ascii="Arial" w:hAnsi="Arial"/>
          <w:b/>
          <w:bCs/>
          <w:sz w:val="20"/>
          <w:szCs w:val="18"/>
        </w:rPr>
      </w:pPr>
      <w:r>
        <w:br w:type="page"/>
      </w:r>
    </w:p>
    <w:p w14:paraId="157046DD" w14:textId="77777777" w:rsidR="007C57DF" w:rsidRDefault="007C57DF" w:rsidP="00FF1A1C">
      <w:pPr>
        <w:pStyle w:val="Caption"/>
        <w:spacing w:after="0"/>
      </w:pPr>
    </w:p>
    <w:p w14:paraId="33E9B2BD" w14:textId="44FD1D7F" w:rsidR="00AB4FB8" w:rsidRDefault="00AB4FB8" w:rsidP="00FF1A1C">
      <w:pPr>
        <w:pStyle w:val="Caption"/>
        <w:spacing w:after="0"/>
      </w:pPr>
      <w:r>
        <w:t xml:space="preserve">Table </w:t>
      </w:r>
      <w:r w:rsidR="00445014">
        <w:rPr>
          <w:noProof/>
        </w:rPr>
        <w:fldChar w:fldCharType="begin"/>
      </w:r>
      <w:r w:rsidR="00445014">
        <w:rPr>
          <w:noProof/>
        </w:rPr>
        <w:instrText xml:space="preserve"> SEQ Table \* ARABIC </w:instrText>
      </w:r>
      <w:r w:rsidR="00445014">
        <w:rPr>
          <w:noProof/>
        </w:rPr>
        <w:fldChar w:fldCharType="separate"/>
      </w:r>
      <w:r w:rsidR="00DD5E73">
        <w:rPr>
          <w:noProof/>
        </w:rPr>
        <w:t>3</w:t>
      </w:r>
      <w:r w:rsidR="00445014">
        <w:rPr>
          <w:noProof/>
        </w:rPr>
        <w:fldChar w:fldCharType="end"/>
      </w:r>
      <w:r>
        <w:t xml:space="preserve">: </w:t>
      </w:r>
      <w:r w:rsidR="00E75CBE">
        <w:t>Anticipated n</w:t>
      </w:r>
      <w:r w:rsidRPr="007A2D7D">
        <w:t xml:space="preserve">et </w:t>
      </w:r>
      <w:r w:rsidR="00E75CBE">
        <w:t>e</w:t>
      </w:r>
      <w:r w:rsidRPr="007A2D7D">
        <w:t xml:space="preserve">ffect on </w:t>
      </w:r>
      <w:r w:rsidR="00E75CBE">
        <w:t>v</w:t>
      </w:r>
      <w:r w:rsidRPr="007A2D7D">
        <w:t xml:space="preserve">isibility of </w:t>
      </w:r>
      <w:r w:rsidR="00E75CBE">
        <w:t>e</w:t>
      </w:r>
      <w:r w:rsidRPr="007A2D7D">
        <w:t xml:space="preserve">mission </w:t>
      </w:r>
      <w:r w:rsidR="00E75CBE">
        <w:t>r</w:t>
      </w:r>
      <w:r w:rsidRPr="007A2D7D">
        <w:t>eductions over t</w:t>
      </w:r>
      <w:r w:rsidR="00E75CBE">
        <w:t>he second c</w:t>
      </w:r>
      <w:r>
        <w:t xml:space="preserve">ontrol </w:t>
      </w:r>
      <w:r w:rsidR="00E75CBE">
        <w:t>p</w:t>
      </w:r>
      <w:r w:rsidR="00E166A0">
        <w:t>eriod for clearest d</w:t>
      </w:r>
      <w:r>
        <w:t>ays</w:t>
      </w:r>
    </w:p>
    <w:tbl>
      <w:tblPr>
        <w:tblW w:w="9540" w:type="dxa"/>
        <w:tblInd w:w="-10" w:type="dxa"/>
        <w:tblLook w:val="04A0" w:firstRow="1" w:lastRow="0" w:firstColumn="1" w:lastColumn="0" w:noHBand="0" w:noVBand="1"/>
        <w:tblCaption w:val="Anticipated net effect on visibility of emission reductions over the second control period for clearest days"/>
      </w:tblPr>
      <w:tblGrid>
        <w:gridCol w:w="5130"/>
        <w:gridCol w:w="1260"/>
        <w:gridCol w:w="1530"/>
        <w:gridCol w:w="1620"/>
      </w:tblGrid>
      <w:tr w:rsidR="00AB4FB8" w:rsidRPr="00AB4FB8" w14:paraId="09FE6013" w14:textId="77777777" w:rsidTr="00164A9D">
        <w:trPr>
          <w:trHeight w:val="1068"/>
        </w:trPr>
        <w:tc>
          <w:tcPr>
            <w:tcW w:w="5130" w:type="dxa"/>
            <w:tcBorders>
              <w:top w:val="single" w:sz="8" w:space="0" w:color="auto"/>
              <w:left w:val="single" w:sz="8" w:space="0" w:color="auto"/>
              <w:bottom w:val="single" w:sz="8" w:space="0" w:color="auto"/>
              <w:right w:val="single" w:sz="8" w:space="0" w:color="auto"/>
            </w:tcBorders>
            <w:shd w:val="clear" w:color="000000" w:fill="FFFF66"/>
            <w:vAlign w:val="center"/>
            <w:hideMark/>
          </w:tcPr>
          <w:p w14:paraId="677E478B" w14:textId="77777777" w:rsidR="00AB4FB8" w:rsidRPr="00AB4FB8" w:rsidRDefault="00AB4FB8" w:rsidP="00FF1A1C">
            <w:pPr>
              <w:spacing w:after="0"/>
              <w:rPr>
                <w:rFonts w:ascii="Arial" w:hAnsi="Arial" w:cs="Arial"/>
                <w:color w:val="000000"/>
                <w:sz w:val="20"/>
              </w:rPr>
            </w:pPr>
            <w:r w:rsidRPr="00AB4FB8">
              <w:rPr>
                <w:rFonts w:ascii="Arial" w:hAnsi="Arial" w:cs="Arial"/>
                <w:color w:val="000000"/>
                <w:sz w:val="20"/>
              </w:rPr>
              <w:t>Class I Area</w:t>
            </w:r>
          </w:p>
        </w:tc>
        <w:tc>
          <w:tcPr>
            <w:tcW w:w="1260" w:type="dxa"/>
            <w:tcBorders>
              <w:top w:val="single" w:sz="8" w:space="0" w:color="auto"/>
              <w:left w:val="nil"/>
              <w:bottom w:val="single" w:sz="8" w:space="0" w:color="auto"/>
              <w:right w:val="single" w:sz="8" w:space="0" w:color="auto"/>
            </w:tcBorders>
            <w:shd w:val="clear" w:color="000000" w:fill="FFFF66"/>
            <w:vAlign w:val="center"/>
            <w:hideMark/>
          </w:tcPr>
          <w:p w14:paraId="728B991A" w14:textId="4C7C967F" w:rsidR="00AB4FB8" w:rsidRPr="00AB4FB8" w:rsidRDefault="00164A9D" w:rsidP="00FF1A1C">
            <w:pPr>
              <w:spacing w:after="0"/>
              <w:jc w:val="center"/>
              <w:rPr>
                <w:rFonts w:ascii="Arial" w:hAnsi="Arial" w:cs="Arial"/>
                <w:color w:val="000000"/>
                <w:sz w:val="20"/>
              </w:rPr>
            </w:pPr>
            <w:r>
              <w:rPr>
                <w:rFonts w:ascii="Arial" w:hAnsi="Arial" w:cs="Arial"/>
                <w:color w:val="000000"/>
                <w:sz w:val="20"/>
              </w:rPr>
              <w:t>2014 to</w:t>
            </w:r>
            <w:r w:rsidR="00AB4FB8" w:rsidRPr="00AB4FB8">
              <w:rPr>
                <w:rFonts w:ascii="Arial" w:hAnsi="Arial" w:cs="Arial"/>
                <w:color w:val="000000"/>
                <w:sz w:val="20"/>
              </w:rPr>
              <w:t xml:space="preserve"> 20</w:t>
            </w:r>
            <w:r w:rsidR="00854212">
              <w:rPr>
                <w:rFonts w:ascii="Arial" w:hAnsi="Arial" w:cs="Arial"/>
                <w:color w:val="000000"/>
                <w:sz w:val="20"/>
              </w:rPr>
              <w:t>1</w:t>
            </w:r>
            <w:r w:rsidR="00AB4FB8" w:rsidRPr="00AB4FB8">
              <w:rPr>
                <w:rFonts w:ascii="Arial" w:hAnsi="Arial" w:cs="Arial"/>
                <w:color w:val="000000"/>
                <w:sz w:val="20"/>
              </w:rPr>
              <w:t>8</w:t>
            </w:r>
          </w:p>
        </w:tc>
        <w:tc>
          <w:tcPr>
            <w:tcW w:w="1530" w:type="dxa"/>
            <w:tcBorders>
              <w:top w:val="single" w:sz="8" w:space="0" w:color="auto"/>
              <w:left w:val="nil"/>
              <w:bottom w:val="single" w:sz="8" w:space="0" w:color="auto"/>
              <w:right w:val="single" w:sz="8" w:space="0" w:color="auto"/>
            </w:tcBorders>
            <w:shd w:val="clear" w:color="000000" w:fill="FFFF66"/>
            <w:vAlign w:val="center"/>
            <w:hideMark/>
          </w:tcPr>
          <w:p w14:paraId="707D7314" w14:textId="7A987907" w:rsidR="00AB4FB8" w:rsidRPr="00AB4FB8" w:rsidRDefault="00AB4FB8" w:rsidP="00FF1A1C">
            <w:pPr>
              <w:spacing w:after="0"/>
              <w:jc w:val="center"/>
              <w:rPr>
                <w:rFonts w:ascii="Arial" w:hAnsi="Arial" w:cs="Arial"/>
                <w:color w:val="000000"/>
                <w:sz w:val="20"/>
              </w:rPr>
            </w:pPr>
            <w:r w:rsidRPr="00AB4FB8">
              <w:rPr>
                <w:rFonts w:ascii="Arial" w:hAnsi="Arial" w:cs="Arial"/>
                <w:color w:val="000000"/>
                <w:sz w:val="20"/>
              </w:rPr>
              <w:t>2028 Projected Visibility</w:t>
            </w:r>
            <w:r w:rsidR="003E0837">
              <w:rPr>
                <w:rFonts w:ascii="Arial" w:hAnsi="Arial" w:cs="Arial"/>
                <w:color w:val="000000"/>
                <w:sz w:val="20"/>
              </w:rPr>
              <w:t xml:space="preserve"> </w:t>
            </w:r>
            <w:r w:rsidRPr="00AB4FB8">
              <w:rPr>
                <w:rFonts w:ascii="Arial" w:hAnsi="Arial" w:cs="Arial"/>
                <w:color w:val="000000"/>
                <w:sz w:val="20"/>
              </w:rPr>
              <w:t>(dv)</w:t>
            </w:r>
            <w:r w:rsidR="003E0837">
              <w:rPr>
                <w:rFonts w:ascii="Arial" w:hAnsi="Arial" w:cs="Arial"/>
                <w:color w:val="000000"/>
                <w:sz w:val="20"/>
              </w:rPr>
              <w:t xml:space="preserve"> </w:t>
            </w:r>
          </w:p>
        </w:tc>
        <w:tc>
          <w:tcPr>
            <w:tcW w:w="1620" w:type="dxa"/>
            <w:tcBorders>
              <w:top w:val="single" w:sz="8" w:space="0" w:color="auto"/>
              <w:left w:val="nil"/>
              <w:bottom w:val="single" w:sz="8" w:space="0" w:color="auto"/>
              <w:right w:val="single" w:sz="8" w:space="0" w:color="auto"/>
            </w:tcBorders>
            <w:shd w:val="clear" w:color="000000" w:fill="FFFF66"/>
            <w:vAlign w:val="center"/>
            <w:hideMark/>
          </w:tcPr>
          <w:p w14:paraId="17B4B131" w14:textId="77777777" w:rsidR="00AB4FB8" w:rsidRPr="00AB4FB8" w:rsidRDefault="00AB4FB8" w:rsidP="00FF1A1C">
            <w:pPr>
              <w:spacing w:after="0"/>
              <w:jc w:val="center"/>
              <w:rPr>
                <w:rFonts w:ascii="Arial" w:hAnsi="Arial" w:cs="Arial"/>
                <w:color w:val="000000"/>
                <w:sz w:val="20"/>
              </w:rPr>
            </w:pPr>
            <w:r w:rsidRPr="00AB4FB8">
              <w:rPr>
                <w:rFonts w:ascii="Arial" w:hAnsi="Arial" w:cs="Arial"/>
                <w:color w:val="000000"/>
                <w:sz w:val="20"/>
              </w:rPr>
              <w:t>Improvement (dv)</w:t>
            </w:r>
          </w:p>
        </w:tc>
      </w:tr>
      <w:tr w:rsidR="00AB4FB8" w:rsidRPr="00AB4FB8" w14:paraId="45BB81E6" w14:textId="77777777" w:rsidTr="00164A9D">
        <w:trPr>
          <w:trHeight w:val="300"/>
        </w:trPr>
        <w:tc>
          <w:tcPr>
            <w:tcW w:w="5130" w:type="dxa"/>
            <w:tcBorders>
              <w:top w:val="nil"/>
              <w:left w:val="single" w:sz="8" w:space="0" w:color="auto"/>
              <w:bottom w:val="single" w:sz="8" w:space="0" w:color="auto"/>
              <w:right w:val="single" w:sz="8" w:space="0" w:color="auto"/>
            </w:tcBorders>
            <w:shd w:val="clear" w:color="auto" w:fill="auto"/>
            <w:vAlign w:val="center"/>
            <w:hideMark/>
          </w:tcPr>
          <w:p w14:paraId="7EB86003" w14:textId="77777777" w:rsidR="00AB4FB8" w:rsidRPr="00AB4FB8" w:rsidRDefault="00AB4FB8" w:rsidP="00AB4FB8">
            <w:pPr>
              <w:spacing w:after="0"/>
              <w:rPr>
                <w:rFonts w:ascii="Arial" w:hAnsi="Arial" w:cs="Arial"/>
                <w:color w:val="000000"/>
                <w:sz w:val="20"/>
              </w:rPr>
            </w:pPr>
            <w:r w:rsidRPr="00AB4FB8">
              <w:rPr>
                <w:rFonts w:ascii="Arial" w:hAnsi="Arial" w:cs="Arial"/>
                <w:color w:val="000000"/>
                <w:sz w:val="20"/>
              </w:rPr>
              <w:t>Olympic National Park</w:t>
            </w:r>
          </w:p>
        </w:tc>
        <w:tc>
          <w:tcPr>
            <w:tcW w:w="1260" w:type="dxa"/>
            <w:tcBorders>
              <w:top w:val="nil"/>
              <w:left w:val="nil"/>
              <w:bottom w:val="single" w:sz="8" w:space="0" w:color="auto"/>
              <w:right w:val="single" w:sz="8" w:space="0" w:color="auto"/>
            </w:tcBorders>
            <w:shd w:val="clear" w:color="auto" w:fill="auto"/>
            <w:vAlign w:val="center"/>
            <w:hideMark/>
          </w:tcPr>
          <w:p w14:paraId="02484C41"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3.6</w:t>
            </w:r>
          </w:p>
        </w:tc>
        <w:tc>
          <w:tcPr>
            <w:tcW w:w="1530" w:type="dxa"/>
            <w:tcBorders>
              <w:top w:val="nil"/>
              <w:left w:val="nil"/>
              <w:bottom w:val="single" w:sz="8" w:space="0" w:color="auto"/>
              <w:right w:val="single" w:sz="8" w:space="0" w:color="auto"/>
            </w:tcBorders>
            <w:shd w:val="clear" w:color="auto" w:fill="auto"/>
            <w:vAlign w:val="center"/>
            <w:hideMark/>
          </w:tcPr>
          <w:p w14:paraId="2AA20227"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3.4</w:t>
            </w:r>
          </w:p>
        </w:tc>
        <w:tc>
          <w:tcPr>
            <w:tcW w:w="1620" w:type="dxa"/>
            <w:tcBorders>
              <w:top w:val="nil"/>
              <w:left w:val="nil"/>
              <w:bottom w:val="single" w:sz="8" w:space="0" w:color="auto"/>
              <w:right w:val="single" w:sz="8" w:space="0" w:color="auto"/>
            </w:tcBorders>
            <w:shd w:val="clear" w:color="auto" w:fill="auto"/>
            <w:vAlign w:val="center"/>
            <w:hideMark/>
          </w:tcPr>
          <w:p w14:paraId="24394FEA"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0.2</w:t>
            </w:r>
          </w:p>
        </w:tc>
      </w:tr>
      <w:tr w:rsidR="00AB4FB8" w:rsidRPr="00AB4FB8" w14:paraId="1979D6AC" w14:textId="77777777" w:rsidTr="00164A9D">
        <w:trPr>
          <w:trHeight w:val="540"/>
        </w:trPr>
        <w:tc>
          <w:tcPr>
            <w:tcW w:w="5130" w:type="dxa"/>
            <w:tcBorders>
              <w:top w:val="nil"/>
              <w:left w:val="single" w:sz="8" w:space="0" w:color="auto"/>
              <w:bottom w:val="single" w:sz="8" w:space="0" w:color="auto"/>
              <w:right w:val="single" w:sz="8" w:space="0" w:color="auto"/>
            </w:tcBorders>
            <w:shd w:val="clear" w:color="auto" w:fill="auto"/>
            <w:vAlign w:val="center"/>
            <w:hideMark/>
          </w:tcPr>
          <w:p w14:paraId="45732FBE" w14:textId="77777777" w:rsidR="00AB4FB8" w:rsidRPr="00AB4FB8" w:rsidRDefault="00AB4FB8" w:rsidP="00AB4FB8">
            <w:pPr>
              <w:spacing w:after="0"/>
              <w:rPr>
                <w:rFonts w:ascii="Arial" w:hAnsi="Arial" w:cs="Arial"/>
                <w:color w:val="000000"/>
                <w:sz w:val="20"/>
              </w:rPr>
            </w:pPr>
            <w:r w:rsidRPr="00AB4FB8">
              <w:rPr>
                <w:rFonts w:ascii="Arial" w:hAnsi="Arial" w:cs="Arial"/>
                <w:color w:val="000000"/>
                <w:sz w:val="20"/>
              </w:rPr>
              <w:t>North Cascades National Park and Glacier Peak Wilderness</w:t>
            </w:r>
          </w:p>
        </w:tc>
        <w:tc>
          <w:tcPr>
            <w:tcW w:w="1260" w:type="dxa"/>
            <w:tcBorders>
              <w:top w:val="nil"/>
              <w:left w:val="nil"/>
              <w:bottom w:val="single" w:sz="8" w:space="0" w:color="auto"/>
              <w:right w:val="single" w:sz="8" w:space="0" w:color="auto"/>
            </w:tcBorders>
            <w:shd w:val="clear" w:color="auto" w:fill="auto"/>
            <w:vAlign w:val="center"/>
            <w:hideMark/>
          </w:tcPr>
          <w:p w14:paraId="6EFB6808"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2.5</w:t>
            </w:r>
          </w:p>
        </w:tc>
        <w:tc>
          <w:tcPr>
            <w:tcW w:w="1530" w:type="dxa"/>
            <w:tcBorders>
              <w:top w:val="nil"/>
              <w:left w:val="nil"/>
              <w:bottom w:val="single" w:sz="8" w:space="0" w:color="auto"/>
              <w:right w:val="single" w:sz="8" w:space="0" w:color="auto"/>
            </w:tcBorders>
            <w:shd w:val="clear" w:color="auto" w:fill="auto"/>
            <w:vAlign w:val="center"/>
            <w:hideMark/>
          </w:tcPr>
          <w:p w14:paraId="3DD2FD35"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2.3</w:t>
            </w:r>
          </w:p>
        </w:tc>
        <w:tc>
          <w:tcPr>
            <w:tcW w:w="1620" w:type="dxa"/>
            <w:tcBorders>
              <w:top w:val="nil"/>
              <w:left w:val="nil"/>
              <w:bottom w:val="single" w:sz="8" w:space="0" w:color="auto"/>
              <w:right w:val="single" w:sz="8" w:space="0" w:color="auto"/>
            </w:tcBorders>
            <w:shd w:val="clear" w:color="auto" w:fill="auto"/>
            <w:vAlign w:val="center"/>
            <w:hideMark/>
          </w:tcPr>
          <w:p w14:paraId="6248AF4C"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0.2</w:t>
            </w:r>
          </w:p>
        </w:tc>
      </w:tr>
      <w:tr w:rsidR="00AB4FB8" w:rsidRPr="00AB4FB8" w14:paraId="428814B4" w14:textId="77777777" w:rsidTr="00164A9D">
        <w:trPr>
          <w:trHeight w:val="300"/>
        </w:trPr>
        <w:tc>
          <w:tcPr>
            <w:tcW w:w="5130" w:type="dxa"/>
            <w:tcBorders>
              <w:top w:val="nil"/>
              <w:left w:val="single" w:sz="8" w:space="0" w:color="auto"/>
              <w:bottom w:val="single" w:sz="8" w:space="0" w:color="auto"/>
              <w:right w:val="single" w:sz="8" w:space="0" w:color="auto"/>
            </w:tcBorders>
            <w:shd w:val="clear" w:color="auto" w:fill="auto"/>
            <w:vAlign w:val="center"/>
            <w:hideMark/>
          </w:tcPr>
          <w:p w14:paraId="722D32B6" w14:textId="77777777" w:rsidR="00AB4FB8" w:rsidRPr="00AB4FB8" w:rsidRDefault="00AB4FB8" w:rsidP="00AB4FB8">
            <w:pPr>
              <w:spacing w:after="0"/>
              <w:rPr>
                <w:rFonts w:ascii="Arial" w:hAnsi="Arial" w:cs="Arial"/>
                <w:color w:val="000000"/>
                <w:sz w:val="20"/>
              </w:rPr>
            </w:pPr>
            <w:r w:rsidRPr="00AB4FB8">
              <w:rPr>
                <w:rFonts w:ascii="Arial" w:hAnsi="Arial" w:cs="Arial"/>
                <w:color w:val="000000"/>
                <w:sz w:val="20"/>
              </w:rPr>
              <w:t>Alpine Lakes Wilderness</w:t>
            </w:r>
          </w:p>
        </w:tc>
        <w:tc>
          <w:tcPr>
            <w:tcW w:w="1260" w:type="dxa"/>
            <w:tcBorders>
              <w:top w:val="nil"/>
              <w:left w:val="nil"/>
              <w:bottom w:val="single" w:sz="8" w:space="0" w:color="auto"/>
              <w:right w:val="single" w:sz="8" w:space="0" w:color="auto"/>
            </w:tcBorders>
            <w:shd w:val="clear" w:color="auto" w:fill="auto"/>
            <w:vAlign w:val="center"/>
            <w:hideMark/>
          </w:tcPr>
          <w:p w14:paraId="4AFF7317"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3.3</w:t>
            </w:r>
          </w:p>
        </w:tc>
        <w:tc>
          <w:tcPr>
            <w:tcW w:w="1530" w:type="dxa"/>
            <w:tcBorders>
              <w:top w:val="nil"/>
              <w:left w:val="nil"/>
              <w:bottom w:val="single" w:sz="8" w:space="0" w:color="auto"/>
              <w:right w:val="single" w:sz="8" w:space="0" w:color="auto"/>
            </w:tcBorders>
            <w:shd w:val="clear" w:color="auto" w:fill="auto"/>
            <w:vAlign w:val="center"/>
            <w:hideMark/>
          </w:tcPr>
          <w:p w14:paraId="44EF26AD"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3</w:t>
            </w:r>
          </w:p>
        </w:tc>
        <w:tc>
          <w:tcPr>
            <w:tcW w:w="1620" w:type="dxa"/>
            <w:tcBorders>
              <w:top w:val="nil"/>
              <w:left w:val="nil"/>
              <w:bottom w:val="single" w:sz="8" w:space="0" w:color="auto"/>
              <w:right w:val="single" w:sz="8" w:space="0" w:color="auto"/>
            </w:tcBorders>
            <w:shd w:val="clear" w:color="auto" w:fill="auto"/>
            <w:vAlign w:val="center"/>
            <w:hideMark/>
          </w:tcPr>
          <w:p w14:paraId="25AB9537"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0.3</w:t>
            </w:r>
          </w:p>
        </w:tc>
      </w:tr>
      <w:tr w:rsidR="00AB4FB8" w:rsidRPr="00AB4FB8" w14:paraId="0DAB4F67" w14:textId="77777777" w:rsidTr="00164A9D">
        <w:trPr>
          <w:trHeight w:val="300"/>
        </w:trPr>
        <w:tc>
          <w:tcPr>
            <w:tcW w:w="5130" w:type="dxa"/>
            <w:tcBorders>
              <w:top w:val="nil"/>
              <w:left w:val="single" w:sz="8" w:space="0" w:color="auto"/>
              <w:bottom w:val="single" w:sz="8" w:space="0" w:color="auto"/>
              <w:right w:val="single" w:sz="8" w:space="0" w:color="auto"/>
            </w:tcBorders>
            <w:shd w:val="clear" w:color="auto" w:fill="auto"/>
            <w:vAlign w:val="center"/>
            <w:hideMark/>
          </w:tcPr>
          <w:p w14:paraId="798F204B" w14:textId="77777777" w:rsidR="00AB4FB8" w:rsidRPr="00AB4FB8" w:rsidRDefault="00AB4FB8" w:rsidP="00AB4FB8">
            <w:pPr>
              <w:spacing w:after="0"/>
              <w:rPr>
                <w:rFonts w:ascii="Arial" w:hAnsi="Arial" w:cs="Arial"/>
                <w:color w:val="000000"/>
                <w:sz w:val="20"/>
              </w:rPr>
            </w:pPr>
            <w:r w:rsidRPr="00AB4FB8">
              <w:rPr>
                <w:rFonts w:ascii="Arial" w:hAnsi="Arial" w:cs="Arial"/>
                <w:color w:val="000000"/>
                <w:sz w:val="20"/>
              </w:rPr>
              <w:t xml:space="preserve">Mount Rainier National Park </w:t>
            </w:r>
          </w:p>
        </w:tc>
        <w:tc>
          <w:tcPr>
            <w:tcW w:w="1260" w:type="dxa"/>
            <w:tcBorders>
              <w:top w:val="nil"/>
              <w:left w:val="nil"/>
              <w:bottom w:val="single" w:sz="8" w:space="0" w:color="auto"/>
              <w:right w:val="single" w:sz="8" w:space="0" w:color="auto"/>
            </w:tcBorders>
            <w:shd w:val="clear" w:color="auto" w:fill="auto"/>
            <w:vAlign w:val="center"/>
            <w:hideMark/>
          </w:tcPr>
          <w:p w14:paraId="02D6D476"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3.9</w:t>
            </w:r>
          </w:p>
        </w:tc>
        <w:tc>
          <w:tcPr>
            <w:tcW w:w="1530" w:type="dxa"/>
            <w:tcBorders>
              <w:top w:val="nil"/>
              <w:left w:val="nil"/>
              <w:bottom w:val="single" w:sz="8" w:space="0" w:color="auto"/>
              <w:right w:val="single" w:sz="8" w:space="0" w:color="auto"/>
            </w:tcBorders>
            <w:shd w:val="clear" w:color="auto" w:fill="auto"/>
            <w:vAlign w:val="center"/>
            <w:hideMark/>
          </w:tcPr>
          <w:p w14:paraId="06A1660C"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3.6</w:t>
            </w:r>
          </w:p>
        </w:tc>
        <w:tc>
          <w:tcPr>
            <w:tcW w:w="1620" w:type="dxa"/>
            <w:tcBorders>
              <w:top w:val="nil"/>
              <w:left w:val="nil"/>
              <w:bottom w:val="single" w:sz="8" w:space="0" w:color="auto"/>
              <w:right w:val="single" w:sz="8" w:space="0" w:color="auto"/>
            </w:tcBorders>
            <w:shd w:val="clear" w:color="auto" w:fill="auto"/>
            <w:vAlign w:val="center"/>
            <w:hideMark/>
          </w:tcPr>
          <w:p w14:paraId="78D49028"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0.3</w:t>
            </w:r>
          </w:p>
        </w:tc>
      </w:tr>
      <w:tr w:rsidR="00AB4FB8" w:rsidRPr="00AB4FB8" w14:paraId="61EA0148" w14:textId="77777777" w:rsidTr="00164A9D">
        <w:trPr>
          <w:trHeight w:val="540"/>
        </w:trPr>
        <w:tc>
          <w:tcPr>
            <w:tcW w:w="5130" w:type="dxa"/>
            <w:tcBorders>
              <w:top w:val="nil"/>
              <w:left w:val="single" w:sz="8" w:space="0" w:color="auto"/>
              <w:bottom w:val="single" w:sz="8" w:space="0" w:color="auto"/>
              <w:right w:val="single" w:sz="8" w:space="0" w:color="auto"/>
            </w:tcBorders>
            <w:shd w:val="clear" w:color="auto" w:fill="auto"/>
            <w:vAlign w:val="center"/>
            <w:hideMark/>
          </w:tcPr>
          <w:p w14:paraId="0011D6F2" w14:textId="77777777" w:rsidR="00AB4FB8" w:rsidRPr="00AB4FB8" w:rsidRDefault="00AB4FB8" w:rsidP="00AB4FB8">
            <w:pPr>
              <w:spacing w:after="0"/>
              <w:rPr>
                <w:rFonts w:ascii="Arial" w:hAnsi="Arial" w:cs="Arial"/>
                <w:color w:val="000000"/>
                <w:sz w:val="20"/>
              </w:rPr>
            </w:pPr>
            <w:r w:rsidRPr="00AB4FB8">
              <w:rPr>
                <w:rFonts w:ascii="Arial" w:hAnsi="Arial" w:cs="Arial"/>
                <w:color w:val="000000"/>
                <w:sz w:val="20"/>
              </w:rPr>
              <w:t>Goat Rocks Wilderness and Mount Adams Wilderness</w:t>
            </w:r>
          </w:p>
        </w:tc>
        <w:tc>
          <w:tcPr>
            <w:tcW w:w="1260" w:type="dxa"/>
            <w:tcBorders>
              <w:top w:val="nil"/>
              <w:left w:val="nil"/>
              <w:bottom w:val="single" w:sz="8" w:space="0" w:color="auto"/>
              <w:right w:val="single" w:sz="8" w:space="0" w:color="auto"/>
            </w:tcBorders>
            <w:shd w:val="clear" w:color="auto" w:fill="auto"/>
            <w:vAlign w:val="center"/>
            <w:hideMark/>
          </w:tcPr>
          <w:p w14:paraId="476FC20D"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1</w:t>
            </w:r>
          </w:p>
        </w:tc>
        <w:tc>
          <w:tcPr>
            <w:tcW w:w="1530" w:type="dxa"/>
            <w:tcBorders>
              <w:top w:val="nil"/>
              <w:left w:val="nil"/>
              <w:bottom w:val="single" w:sz="8" w:space="0" w:color="auto"/>
              <w:right w:val="single" w:sz="8" w:space="0" w:color="auto"/>
            </w:tcBorders>
            <w:shd w:val="clear" w:color="auto" w:fill="auto"/>
            <w:vAlign w:val="center"/>
            <w:hideMark/>
          </w:tcPr>
          <w:p w14:paraId="25745926"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0.9</w:t>
            </w:r>
          </w:p>
        </w:tc>
        <w:tc>
          <w:tcPr>
            <w:tcW w:w="1620" w:type="dxa"/>
            <w:tcBorders>
              <w:top w:val="nil"/>
              <w:left w:val="nil"/>
              <w:bottom w:val="single" w:sz="8" w:space="0" w:color="auto"/>
              <w:right w:val="single" w:sz="8" w:space="0" w:color="auto"/>
            </w:tcBorders>
            <w:shd w:val="clear" w:color="auto" w:fill="auto"/>
            <w:vAlign w:val="center"/>
            <w:hideMark/>
          </w:tcPr>
          <w:p w14:paraId="7B8CC18C"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0.1</w:t>
            </w:r>
          </w:p>
        </w:tc>
      </w:tr>
      <w:tr w:rsidR="00AB4FB8" w:rsidRPr="00AB4FB8" w14:paraId="64D15FA0" w14:textId="77777777" w:rsidTr="00164A9D">
        <w:trPr>
          <w:trHeight w:val="300"/>
        </w:trPr>
        <w:tc>
          <w:tcPr>
            <w:tcW w:w="5130" w:type="dxa"/>
            <w:tcBorders>
              <w:top w:val="nil"/>
              <w:left w:val="single" w:sz="8" w:space="0" w:color="auto"/>
              <w:bottom w:val="single" w:sz="8" w:space="0" w:color="auto"/>
              <w:right w:val="single" w:sz="8" w:space="0" w:color="auto"/>
            </w:tcBorders>
            <w:shd w:val="clear" w:color="auto" w:fill="auto"/>
            <w:vAlign w:val="center"/>
            <w:hideMark/>
          </w:tcPr>
          <w:p w14:paraId="694016DF" w14:textId="77777777" w:rsidR="00AB4FB8" w:rsidRPr="00AB4FB8" w:rsidRDefault="00AB4FB8" w:rsidP="00AB4FB8">
            <w:pPr>
              <w:spacing w:after="0"/>
              <w:rPr>
                <w:rFonts w:ascii="Arial" w:hAnsi="Arial" w:cs="Arial"/>
                <w:color w:val="000000"/>
                <w:sz w:val="20"/>
              </w:rPr>
            </w:pPr>
            <w:r w:rsidRPr="00AB4FB8">
              <w:rPr>
                <w:rFonts w:ascii="Arial" w:hAnsi="Arial" w:cs="Arial"/>
                <w:color w:val="000000"/>
                <w:sz w:val="20"/>
              </w:rPr>
              <w:t>Pasayten Wilderness</w:t>
            </w:r>
          </w:p>
        </w:tc>
        <w:tc>
          <w:tcPr>
            <w:tcW w:w="1260" w:type="dxa"/>
            <w:tcBorders>
              <w:top w:val="nil"/>
              <w:left w:val="nil"/>
              <w:bottom w:val="single" w:sz="8" w:space="0" w:color="auto"/>
              <w:right w:val="single" w:sz="8" w:space="0" w:color="auto"/>
            </w:tcBorders>
            <w:shd w:val="clear" w:color="auto" w:fill="auto"/>
            <w:vAlign w:val="center"/>
            <w:hideMark/>
          </w:tcPr>
          <w:p w14:paraId="5ABA628B"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1.6</w:t>
            </w:r>
          </w:p>
        </w:tc>
        <w:tc>
          <w:tcPr>
            <w:tcW w:w="1530" w:type="dxa"/>
            <w:tcBorders>
              <w:top w:val="nil"/>
              <w:left w:val="nil"/>
              <w:bottom w:val="single" w:sz="8" w:space="0" w:color="auto"/>
              <w:right w:val="single" w:sz="8" w:space="0" w:color="auto"/>
            </w:tcBorders>
            <w:shd w:val="clear" w:color="auto" w:fill="auto"/>
            <w:vAlign w:val="center"/>
            <w:hideMark/>
          </w:tcPr>
          <w:p w14:paraId="3B63602A"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1.4</w:t>
            </w:r>
          </w:p>
        </w:tc>
        <w:tc>
          <w:tcPr>
            <w:tcW w:w="1620" w:type="dxa"/>
            <w:tcBorders>
              <w:top w:val="nil"/>
              <w:left w:val="nil"/>
              <w:bottom w:val="single" w:sz="8" w:space="0" w:color="auto"/>
              <w:right w:val="single" w:sz="8" w:space="0" w:color="auto"/>
            </w:tcBorders>
            <w:shd w:val="clear" w:color="auto" w:fill="auto"/>
            <w:vAlign w:val="center"/>
            <w:hideMark/>
          </w:tcPr>
          <w:p w14:paraId="6E6CF3C9" w14:textId="77777777" w:rsidR="00AB4FB8" w:rsidRPr="00AB4FB8" w:rsidRDefault="00AB4FB8" w:rsidP="00AB4FB8">
            <w:pPr>
              <w:spacing w:after="0"/>
              <w:jc w:val="center"/>
              <w:rPr>
                <w:rFonts w:ascii="Arial" w:hAnsi="Arial" w:cs="Arial"/>
                <w:color w:val="000000"/>
                <w:sz w:val="20"/>
              </w:rPr>
            </w:pPr>
            <w:r w:rsidRPr="00AB4FB8">
              <w:rPr>
                <w:rFonts w:ascii="Arial" w:hAnsi="Arial" w:cs="Arial"/>
                <w:color w:val="000000"/>
                <w:sz w:val="20"/>
              </w:rPr>
              <w:t>0.2</w:t>
            </w:r>
          </w:p>
        </w:tc>
      </w:tr>
    </w:tbl>
    <w:p w14:paraId="21359566" w14:textId="77777777" w:rsidR="001E70F0" w:rsidRDefault="001E70F0" w:rsidP="00FF1A1C">
      <w:pPr>
        <w:pStyle w:val="Paragraph"/>
        <w:rPr>
          <w:b/>
        </w:rPr>
      </w:pPr>
    </w:p>
    <w:p w14:paraId="6EF27AD4" w14:textId="10E0F577" w:rsidR="007F47CE" w:rsidRPr="004578FE" w:rsidRDefault="007F47CE" w:rsidP="007C57DF">
      <w:pPr>
        <w:pStyle w:val="Heading4"/>
      </w:pPr>
      <w:bookmarkStart w:id="26" w:name="_Toc51679901"/>
      <w:r w:rsidRPr="004578FE">
        <w:t>Summary</w:t>
      </w:r>
      <w:bookmarkEnd w:id="26"/>
    </w:p>
    <w:p w14:paraId="5ADA250C" w14:textId="32163B5D" w:rsidR="007F47CE" w:rsidRPr="004578FE" w:rsidRDefault="007415EF" w:rsidP="00DD5E73">
      <w:pPr>
        <w:pStyle w:val="Paragraph"/>
      </w:pPr>
      <w:r>
        <w:t>Washington State’s LTS for v</w:t>
      </w:r>
      <w:r w:rsidR="007F47CE" w:rsidRPr="004578FE">
        <w:t xml:space="preserve">isibility </w:t>
      </w:r>
      <w:r w:rsidR="00AE4B3A">
        <w:t>i</w:t>
      </w:r>
      <w:r w:rsidR="007F47CE" w:rsidRPr="004578FE">
        <w:t>mprovement addresses both RH and RAVI.</w:t>
      </w:r>
      <w:r w:rsidR="003E0837">
        <w:t xml:space="preserve"> </w:t>
      </w:r>
      <w:r w:rsidR="00122584">
        <w:t>Ecology designed t</w:t>
      </w:r>
      <w:r w:rsidR="007F47CE" w:rsidRPr="004578FE">
        <w:t xml:space="preserve">he LTS </w:t>
      </w:r>
      <w:r w:rsidR="00E22055">
        <w:t>is</w:t>
      </w:r>
      <w:r w:rsidR="00AE4B3A">
        <w:t xml:space="preserve"> to improve visibility in</w:t>
      </w:r>
      <w:r w:rsidR="007F47CE" w:rsidRPr="004578FE">
        <w:t xml:space="preserve"> </w:t>
      </w:r>
      <w:r w:rsidR="00636B42">
        <w:t>CIA</w:t>
      </w:r>
      <w:r w:rsidR="00AE4B3A">
        <w:t>s</w:t>
      </w:r>
      <w:r w:rsidR="007F47CE" w:rsidRPr="004578FE">
        <w:t xml:space="preserve"> both within and outside Washington where emissions from the state are reasonably anticipated to contri</w:t>
      </w:r>
      <w:r w:rsidR="00DD5E73">
        <w:t>bute to visibility impairment.</w:t>
      </w:r>
      <w:r w:rsidR="00122584">
        <w:t xml:space="preserve"> Ecology designed t</w:t>
      </w:r>
      <w:r w:rsidR="007F47CE" w:rsidRPr="004578FE">
        <w:t xml:space="preserve">he LTS </w:t>
      </w:r>
      <w:r w:rsidR="00651100">
        <w:t>to achieve the RPGs in this RH SIP for</w:t>
      </w:r>
      <w:r w:rsidR="007F47CE" w:rsidRPr="004578FE">
        <w:t xml:space="preserve"> </w:t>
      </w:r>
      <w:r w:rsidR="00636B42">
        <w:t>CIA</w:t>
      </w:r>
      <w:r w:rsidR="00651100">
        <w:t>s</w:t>
      </w:r>
      <w:r w:rsidR="007F47CE" w:rsidRPr="004578FE">
        <w:t xml:space="preserve"> inside Washington</w:t>
      </w:r>
      <w:r w:rsidR="002F27A5">
        <w:t xml:space="preserve">. It also </w:t>
      </w:r>
      <w:r w:rsidR="00271BA0">
        <w:t>addresses</w:t>
      </w:r>
      <w:r w:rsidR="002F27A5">
        <w:t xml:space="preserve"> </w:t>
      </w:r>
      <w:r w:rsidR="00636B42">
        <w:t>CIA</w:t>
      </w:r>
      <w:r w:rsidR="00651100">
        <w:t>s</w:t>
      </w:r>
      <w:r w:rsidR="007F47CE" w:rsidRPr="004578FE">
        <w:t xml:space="preserve"> outside of Washington where</w:t>
      </w:r>
      <w:r w:rsidR="00DE46E0">
        <w:t xml:space="preserve"> </w:t>
      </w:r>
      <w:r w:rsidR="00122584">
        <w:t xml:space="preserve">we reasonably anticipate </w:t>
      </w:r>
      <w:r w:rsidR="00DE46E0">
        <w:t>Washington</w:t>
      </w:r>
      <w:r w:rsidR="00E22055">
        <w:t xml:space="preserve"> emissions</w:t>
      </w:r>
      <w:r w:rsidR="007F47CE" w:rsidRPr="004578FE">
        <w:t xml:space="preserve"> to contribute to visibility impairment.</w:t>
      </w:r>
      <w:r w:rsidR="003E0837">
        <w:t xml:space="preserve"> </w:t>
      </w:r>
      <w:r w:rsidR="007F47CE" w:rsidRPr="004578FE">
        <w:t>The RPGs serve as benchmarks for progress in meeting the national visibility goal by 2064</w:t>
      </w:r>
      <w:r w:rsidR="002F27A5">
        <w:t>.</w:t>
      </w:r>
    </w:p>
    <w:p w14:paraId="19C54FA6" w14:textId="4831D250" w:rsidR="007F47CE" w:rsidRPr="00DD5E73" w:rsidRDefault="002F27A5" w:rsidP="00DD5E73">
      <w:pPr>
        <w:pStyle w:val="Paragraph"/>
      </w:pPr>
      <w:r>
        <w:t>The LTS for this second</w:t>
      </w:r>
      <w:r w:rsidR="003A7477">
        <w:t xml:space="preserve"> RH SIP includes</w:t>
      </w:r>
      <w:r w:rsidR="007F47CE" w:rsidRPr="004578FE">
        <w:t xml:space="preserve"> the fo</w:t>
      </w:r>
      <w:r w:rsidR="00970F93">
        <w:t>llowing key points</w:t>
      </w:r>
      <w:r w:rsidR="007F47CE" w:rsidRPr="004578FE">
        <w:t>:</w:t>
      </w:r>
    </w:p>
    <w:p w14:paraId="418D61C1" w14:textId="19F026DE" w:rsidR="007F47CE" w:rsidRPr="004578FE" w:rsidRDefault="007F47CE" w:rsidP="00C627C8">
      <w:pPr>
        <w:pStyle w:val="BulletedList"/>
      </w:pPr>
      <w:r w:rsidRPr="004578FE">
        <w:t>Already adopted federal and state controls, especially federal fuel and engine rules for on-road and non-road vehicles, are important for m</w:t>
      </w:r>
      <w:r w:rsidR="002F27A5">
        <w:t>aking reasonable progress by 202</w:t>
      </w:r>
      <w:r w:rsidRPr="004578FE">
        <w:t>8.</w:t>
      </w:r>
    </w:p>
    <w:p w14:paraId="67EC09C5" w14:textId="0929D4F4" w:rsidR="007F47CE" w:rsidRPr="004578FE" w:rsidRDefault="009D7626" w:rsidP="00C627C8">
      <w:pPr>
        <w:pStyle w:val="BulletedList"/>
      </w:pPr>
      <w:r>
        <w:t>This SIP</w:t>
      </w:r>
      <w:r w:rsidR="003777A5">
        <w:t xml:space="preserve"> focus</w:t>
      </w:r>
      <w:r w:rsidR="00E86A68">
        <w:t>es</w:t>
      </w:r>
      <w:r w:rsidR="003777A5">
        <w:t xml:space="preserve"> </w:t>
      </w:r>
      <w:r w:rsidR="007F47CE" w:rsidRPr="004578FE">
        <w:t xml:space="preserve">on </w:t>
      </w:r>
      <w:r w:rsidR="003777A5">
        <w:t>improvement to visibility on the MID</w:t>
      </w:r>
      <w:r w:rsidR="007F47CE" w:rsidRPr="004578FE">
        <w:t>.</w:t>
      </w:r>
    </w:p>
    <w:p w14:paraId="653FB08B" w14:textId="0C34A092" w:rsidR="007F47CE" w:rsidRPr="004578FE" w:rsidRDefault="003777A5" w:rsidP="00C627C8">
      <w:pPr>
        <w:pStyle w:val="BulletedList"/>
      </w:pPr>
      <w:r>
        <w:t>Washington</w:t>
      </w:r>
      <w:r w:rsidR="007F47CE" w:rsidRPr="004578FE">
        <w:t xml:space="preserve"> focus</w:t>
      </w:r>
      <w:r>
        <w:t>es</w:t>
      </w:r>
      <w:r w:rsidR="007F47CE" w:rsidRPr="004578FE">
        <w:t xml:space="preserve"> controls primarily on sulfate and secondarily on nitrate.</w:t>
      </w:r>
    </w:p>
    <w:p w14:paraId="5764A680" w14:textId="7ABB2752" w:rsidR="007F47CE" w:rsidRPr="004578FE" w:rsidRDefault="007F47CE" w:rsidP="00C627C8">
      <w:pPr>
        <w:pStyle w:val="BulletedList"/>
      </w:pPr>
      <w:r w:rsidRPr="004578FE">
        <w:t>O</w:t>
      </w:r>
      <w:r w:rsidR="00271BA0">
        <w:t>rganic mass carbon emissions are the resu</w:t>
      </w:r>
      <w:r w:rsidR="00384BA6">
        <w:t>l</w:t>
      </w:r>
      <w:r w:rsidR="00271BA0">
        <w:t>t of fire</w:t>
      </w:r>
      <w:r w:rsidR="00E31711">
        <w:t xml:space="preserve"> and OM</w:t>
      </w:r>
      <w:r w:rsidRPr="004578FE">
        <w:t xml:space="preserve"> </w:t>
      </w:r>
      <w:r w:rsidR="00E86A68">
        <w:t xml:space="preserve">is </w:t>
      </w:r>
      <w:r w:rsidRPr="004578FE">
        <w:t>an important contributor to total light extinction</w:t>
      </w:r>
      <w:r w:rsidR="00970F93">
        <w:t xml:space="preserve"> in</w:t>
      </w:r>
      <w:r w:rsidR="00384BA6">
        <w:t xml:space="preserve"> Washington’s CIAs.</w:t>
      </w:r>
    </w:p>
    <w:p w14:paraId="67467085" w14:textId="4E6CAE21" w:rsidR="00350C45" w:rsidRDefault="007F47CE" w:rsidP="00C627C8">
      <w:pPr>
        <w:pStyle w:val="BulletedList"/>
      </w:pPr>
      <w:r w:rsidRPr="004578FE">
        <w:t>Regional co</w:t>
      </w:r>
      <w:r w:rsidR="009D7626">
        <w:t>ntributions from Canada</w:t>
      </w:r>
      <w:r w:rsidRPr="004578FE">
        <w:t xml:space="preserve"> and Pacific offshore play a significant role in visibility impairment in Washington’s </w:t>
      </w:r>
      <w:r w:rsidR="00636B42">
        <w:t>CIA</w:t>
      </w:r>
      <w:r w:rsidR="003777A5">
        <w:t>s</w:t>
      </w:r>
      <w:r w:rsidRPr="004578FE">
        <w:t xml:space="preserve"> </w:t>
      </w:r>
      <w:r w:rsidR="009D7626">
        <w:t xml:space="preserve">as do wildfires and prescribed fire, </w:t>
      </w:r>
      <w:r w:rsidRPr="004578FE">
        <w:t>but are beyond th</w:t>
      </w:r>
      <w:r w:rsidR="009D7626">
        <w:t>e direct control of Ecology.</w:t>
      </w:r>
    </w:p>
    <w:p w14:paraId="19B4FA2E" w14:textId="14204AAA" w:rsidR="00A1525D" w:rsidRDefault="00A1525D" w:rsidP="00A1525D">
      <w:pPr>
        <w:spacing w:after="0"/>
        <w:contextualSpacing/>
        <w:rPr>
          <w:rFonts w:asciiTheme="minorHAnsi" w:hAnsiTheme="minorHAnsi" w:cstheme="minorHAnsi"/>
          <w:szCs w:val="24"/>
        </w:rPr>
      </w:pPr>
    </w:p>
    <w:p w14:paraId="55750E6B" w14:textId="77777777" w:rsidR="00F277E0" w:rsidRPr="00A1525D" w:rsidRDefault="00F277E0">
      <w:pPr>
        <w:spacing w:after="0"/>
        <w:contextualSpacing/>
        <w:rPr>
          <w:rFonts w:asciiTheme="minorHAnsi" w:hAnsiTheme="minorHAnsi" w:cstheme="minorHAnsi"/>
          <w:szCs w:val="24"/>
        </w:rPr>
      </w:pPr>
    </w:p>
    <w:sectPr w:rsidR="00F277E0" w:rsidRPr="00A1525D" w:rsidSect="000605AC">
      <w:headerReference w:type="even" r:id="rId13"/>
      <w:headerReference w:type="default" r:id="rId14"/>
      <w:footerReference w:type="default" r:id="rId15"/>
      <w:headerReference w:type="first" r:id="rId16"/>
      <w:pgSz w:w="12240" w:h="15840"/>
      <w:pgMar w:top="1339" w:right="1339" w:bottom="274"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1D719" w14:textId="77777777" w:rsidR="00615339" w:rsidRDefault="00615339" w:rsidP="00350C45">
      <w:pPr>
        <w:spacing w:after="0"/>
      </w:pPr>
      <w:r>
        <w:separator/>
      </w:r>
    </w:p>
  </w:endnote>
  <w:endnote w:type="continuationSeparator" w:id="0">
    <w:p w14:paraId="6D56131D" w14:textId="77777777" w:rsidR="00615339" w:rsidRDefault="00615339" w:rsidP="00350C45">
      <w:pPr>
        <w:spacing w:after="0"/>
      </w:pPr>
      <w:r>
        <w:continuationSeparator/>
      </w:r>
    </w:p>
  </w:endnote>
  <w:endnote w:type="continuationNotice" w:id="1">
    <w:p w14:paraId="14309246" w14:textId="77777777" w:rsidR="00615339" w:rsidRDefault="006153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altName w:val="Verdan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FC203" w14:textId="68BF9746" w:rsidR="00615339" w:rsidRPr="00D44F7A" w:rsidRDefault="00615339" w:rsidP="006118B6">
    <w:pPr>
      <w:pStyle w:val="Footer"/>
      <w:tabs>
        <w:tab w:val="clear" w:pos="4320"/>
        <w:tab w:val="clear" w:pos="8640"/>
        <w:tab w:val="center" w:pos="4680"/>
        <w:tab w:val="right" w:pos="9450"/>
      </w:tabs>
      <w:rPr>
        <w:i/>
        <w:sz w:val="22"/>
      </w:rPr>
    </w:pPr>
    <w:r w:rsidRPr="00D44F7A">
      <w:rPr>
        <w:i/>
        <w:sz w:val="22"/>
      </w:rPr>
      <w:t xml:space="preserve">Publication </w:t>
    </w:r>
    <w:r w:rsidRPr="00D44F7A">
      <w:rPr>
        <w:i/>
        <w:sz w:val="22"/>
        <w:highlight w:val="yellow"/>
      </w:rPr>
      <w:t>xx-xx-xxx</w:t>
    </w:r>
    <w:r w:rsidRPr="00D44F7A">
      <w:rPr>
        <w:i/>
        <w:sz w:val="22"/>
      </w:rPr>
      <w:tab/>
    </w:r>
    <w:r w:rsidRPr="00D44F7A">
      <w:rPr>
        <w:i/>
        <w:sz w:val="22"/>
      </w:rPr>
      <w:fldChar w:fldCharType="begin"/>
    </w:r>
    <w:r w:rsidRPr="00D44F7A">
      <w:rPr>
        <w:i/>
        <w:sz w:val="22"/>
      </w:rPr>
      <w:instrText xml:space="preserve"> PAGE   \* MERGEFORMAT </w:instrText>
    </w:r>
    <w:r w:rsidRPr="00D44F7A">
      <w:rPr>
        <w:i/>
        <w:sz w:val="22"/>
      </w:rPr>
      <w:fldChar w:fldCharType="separate"/>
    </w:r>
    <w:r w:rsidR="00BE46B1">
      <w:rPr>
        <w:i/>
        <w:noProof/>
        <w:sz w:val="22"/>
      </w:rPr>
      <w:t>2</w:t>
    </w:r>
    <w:r w:rsidRPr="00D44F7A">
      <w:rPr>
        <w:i/>
        <w:noProof/>
        <w:sz w:val="22"/>
      </w:rPr>
      <w:fldChar w:fldCharType="end"/>
    </w:r>
    <w:r w:rsidRPr="00D44F7A">
      <w:rPr>
        <w:i/>
        <w:noProof/>
        <w:sz w:val="22"/>
      </w:rPr>
      <w:tab/>
    </w:r>
    <w:r>
      <w:rPr>
        <w:i/>
        <w:sz w:val="22"/>
      </w:rPr>
      <w:t>Draft September2020</w:t>
    </w:r>
  </w:p>
  <w:p w14:paraId="3D6097BB" w14:textId="77777777" w:rsidR="00615339" w:rsidRDefault="00615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43194" w14:textId="77777777" w:rsidR="00615339" w:rsidRDefault="00615339" w:rsidP="00350C45">
      <w:pPr>
        <w:spacing w:after="0"/>
      </w:pPr>
      <w:r>
        <w:separator/>
      </w:r>
    </w:p>
  </w:footnote>
  <w:footnote w:type="continuationSeparator" w:id="0">
    <w:p w14:paraId="3EDEA428" w14:textId="77777777" w:rsidR="00615339" w:rsidRDefault="00615339" w:rsidP="00350C45">
      <w:pPr>
        <w:spacing w:after="0"/>
      </w:pPr>
      <w:r>
        <w:continuationSeparator/>
      </w:r>
    </w:p>
  </w:footnote>
  <w:footnote w:type="continuationNotice" w:id="1">
    <w:p w14:paraId="53709AFF" w14:textId="77777777" w:rsidR="00615339" w:rsidRDefault="00615339">
      <w:pPr>
        <w:spacing w:after="0"/>
      </w:pPr>
    </w:p>
  </w:footnote>
  <w:footnote w:id="2">
    <w:p w14:paraId="10C9CC4A" w14:textId="77777777" w:rsidR="00615339" w:rsidRPr="008564FF" w:rsidRDefault="00615339" w:rsidP="007F47CE">
      <w:pPr>
        <w:pStyle w:val="FootnoteText"/>
      </w:pPr>
      <w:r w:rsidRPr="008564FF">
        <w:rPr>
          <w:rStyle w:val="FootnoteReference"/>
        </w:rPr>
        <w:footnoteRef/>
      </w:r>
      <w:r w:rsidRPr="008564FF">
        <w:t xml:space="preserve"> 40 CFR 51.308(d)(3)(v)</w:t>
      </w:r>
    </w:p>
  </w:footnote>
  <w:footnote w:id="3">
    <w:p w14:paraId="33699F44" w14:textId="77777777" w:rsidR="00615339" w:rsidRDefault="00615339" w:rsidP="007F47CE">
      <w:pPr>
        <w:pStyle w:val="FootnoteText"/>
      </w:pPr>
      <w:r>
        <w:rPr>
          <w:rStyle w:val="FootnoteReference"/>
        </w:rPr>
        <w:footnoteRef/>
      </w:r>
      <w:r>
        <w:t xml:space="preserve"> </w:t>
      </w:r>
      <w:r w:rsidRPr="00247F2C">
        <w:t>WAC 173-400-040(3)</w:t>
      </w:r>
      <w:r>
        <w:t xml:space="preserve"> </w:t>
      </w:r>
      <w:r w:rsidRPr="00247F2C">
        <w:t>and (8).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7E4E8" w14:textId="0EBC7468" w:rsidR="00DE4602" w:rsidRDefault="00BE46B1">
    <w:pPr>
      <w:pStyle w:val="Header"/>
    </w:pPr>
    <w:r>
      <w:rPr>
        <w:noProof/>
      </w:rPr>
      <w:pict w14:anchorId="539ED0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591001" o:spid="_x0000_s2050" type="#_x0000_t136" style="position:absolute;margin-left:0;margin-top:0;width:482.2pt;height:192.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1A4D0" w14:textId="0E9AA7B5" w:rsidR="00DE4602" w:rsidRDefault="00BE46B1">
    <w:pPr>
      <w:pStyle w:val="Header"/>
    </w:pPr>
    <w:r>
      <w:rPr>
        <w:noProof/>
      </w:rPr>
      <w:pict w14:anchorId="770825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591002" o:spid="_x0000_s2051" type="#_x0000_t136" style="position:absolute;margin-left:12.85pt;margin-top:254.65pt;width:482.2pt;height:192.85pt;rotation:315;z-index:251663360;mso-position-horizontal-relative:margin;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B8884" w14:textId="6C4A46C1" w:rsidR="00DE4602" w:rsidRDefault="00BE46B1">
    <w:pPr>
      <w:pStyle w:val="Header"/>
    </w:pPr>
    <w:r>
      <w:rPr>
        <w:noProof/>
      </w:rPr>
      <w:pict w14:anchorId="33E4D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591000" o:spid="_x0000_s2049" type="#_x0000_t136" style="position:absolute;margin-left:0;margin-top:0;width:482.2pt;height:192.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A697D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22504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13C79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C287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200C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E610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085F3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DC23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3C6A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C457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3"/>
    <w:lvl w:ilvl="0">
      <w:start w:val="1"/>
      <w:numFmt w:val="bullet"/>
      <w:lvlText w:val="·"/>
      <w:lvlJc w:val="left"/>
      <w:pPr>
        <w:tabs>
          <w:tab w:val="num" w:pos="360"/>
        </w:tabs>
        <w:ind w:left="360" w:hanging="360"/>
      </w:pPr>
      <w:rPr>
        <w:rFonts w:ascii="Symbol" w:hAnsi="Symbol"/>
        <w:sz w:val="16"/>
      </w:rPr>
    </w:lvl>
  </w:abstractNum>
  <w:abstractNum w:abstractNumId="11" w15:restartNumberingAfterBreak="0">
    <w:nsid w:val="04183BDB"/>
    <w:multiLevelType w:val="hybridMultilevel"/>
    <w:tmpl w:val="E04C62D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2" w15:restartNumberingAfterBreak="0">
    <w:nsid w:val="1D6F5A7F"/>
    <w:multiLevelType w:val="hybridMultilevel"/>
    <w:tmpl w:val="EDB84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63376"/>
    <w:multiLevelType w:val="hybridMultilevel"/>
    <w:tmpl w:val="EA00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E409C"/>
    <w:multiLevelType w:val="hybridMultilevel"/>
    <w:tmpl w:val="B7C8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93B3C"/>
    <w:multiLevelType w:val="multilevel"/>
    <w:tmpl w:val="0409001D"/>
    <w:styleLink w:val="Appendice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upp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407379"/>
    <w:multiLevelType w:val="hybridMultilevel"/>
    <w:tmpl w:val="5ADCFDB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37B45"/>
    <w:multiLevelType w:val="hybridMultilevel"/>
    <w:tmpl w:val="C4D6BA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BB1AE1"/>
    <w:multiLevelType w:val="hybridMultilevel"/>
    <w:tmpl w:val="3AE4CDB2"/>
    <w:lvl w:ilvl="0" w:tplc="3822E65E">
      <w:start w:val="1"/>
      <w:numFmt w:val="bullet"/>
      <w:pStyle w:val="BulletedLis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C4600"/>
    <w:multiLevelType w:val="hybridMultilevel"/>
    <w:tmpl w:val="55562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0320C28"/>
    <w:multiLevelType w:val="hybridMultilevel"/>
    <w:tmpl w:val="32FC6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E43374"/>
    <w:multiLevelType w:val="hybridMultilevel"/>
    <w:tmpl w:val="70BE8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1B6897"/>
    <w:multiLevelType w:val="hybridMultilevel"/>
    <w:tmpl w:val="81C4C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DE5E23"/>
    <w:multiLevelType w:val="hybridMultilevel"/>
    <w:tmpl w:val="3AD088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817442D"/>
    <w:multiLevelType w:val="hybridMultilevel"/>
    <w:tmpl w:val="178222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4A2ED0"/>
    <w:multiLevelType w:val="hybridMultilevel"/>
    <w:tmpl w:val="62F6E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6"/>
  </w:num>
  <w:num w:numId="4">
    <w:abstractNumId w:val="20"/>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21"/>
  </w:num>
  <w:num w:numId="18">
    <w:abstractNumId w:val="19"/>
  </w:num>
  <w:num w:numId="19">
    <w:abstractNumId w:val="25"/>
  </w:num>
  <w:num w:numId="20">
    <w:abstractNumId w:val="23"/>
  </w:num>
  <w:num w:numId="21">
    <w:abstractNumId w:val="12"/>
  </w:num>
  <w:num w:numId="22">
    <w:abstractNumId w:val="24"/>
  </w:num>
  <w:num w:numId="23">
    <w:abstractNumId w:val="11"/>
  </w:num>
  <w:num w:numId="24">
    <w:abstractNumId w:val="14"/>
  </w:num>
  <w:num w:numId="25">
    <w:abstractNumId w:val="13"/>
  </w:num>
  <w:num w:numId="26">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C45"/>
    <w:rsid w:val="00003804"/>
    <w:rsid w:val="0000549F"/>
    <w:rsid w:val="00005524"/>
    <w:rsid w:val="00015797"/>
    <w:rsid w:val="00017C90"/>
    <w:rsid w:val="00025C25"/>
    <w:rsid w:val="00040B71"/>
    <w:rsid w:val="00056E01"/>
    <w:rsid w:val="000605AC"/>
    <w:rsid w:val="00061B81"/>
    <w:rsid w:val="00065176"/>
    <w:rsid w:val="000750F9"/>
    <w:rsid w:val="000913B4"/>
    <w:rsid w:val="000A2A89"/>
    <w:rsid w:val="000C04C2"/>
    <w:rsid w:val="000C7DE0"/>
    <w:rsid w:val="000E6F02"/>
    <w:rsid w:val="00101A0D"/>
    <w:rsid w:val="001033A6"/>
    <w:rsid w:val="00103874"/>
    <w:rsid w:val="00110F7C"/>
    <w:rsid w:val="00122584"/>
    <w:rsid w:val="0012332D"/>
    <w:rsid w:val="001262C5"/>
    <w:rsid w:val="00130116"/>
    <w:rsid w:val="00143219"/>
    <w:rsid w:val="001450E0"/>
    <w:rsid w:val="0015791B"/>
    <w:rsid w:val="00163EDA"/>
    <w:rsid w:val="00164A9D"/>
    <w:rsid w:val="00170C49"/>
    <w:rsid w:val="00172748"/>
    <w:rsid w:val="00175B28"/>
    <w:rsid w:val="00181C71"/>
    <w:rsid w:val="00183361"/>
    <w:rsid w:val="00184B6F"/>
    <w:rsid w:val="0018700E"/>
    <w:rsid w:val="001A2B75"/>
    <w:rsid w:val="001A5BA7"/>
    <w:rsid w:val="001A7430"/>
    <w:rsid w:val="001C265D"/>
    <w:rsid w:val="001C372F"/>
    <w:rsid w:val="001D61BD"/>
    <w:rsid w:val="001D6310"/>
    <w:rsid w:val="001E23B3"/>
    <w:rsid w:val="001E2C9A"/>
    <w:rsid w:val="001E52C1"/>
    <w:rsid w:val="001E5F77"/>
    <w:rsid w:val="001E70F0"/>
    <w:rsid w:val="001F0331"/>
    <w:rsid w:val="00206E46"/>
    <w:rsid w:val="00214901"/>
    <w:rsid w:val="00221EFA"/>
    <w:rsid w:val="00230DEE"/>
    <w:rsid w:val="002339C1"/>
    <w:rsid w:val="00244222"/>
    <w:rsid w:val="002455CD"/>
    <w:rsid w:val="002459FB"/>
    <w:rsid w:val="0025000D"/>
    <w:rsid w:val="00254B4D"/>
    <w:rsid w:val="002560CB"/>
    <w:rsid w:val="00266CEC"/>
    <w:rsid w:val="00266F58"/>
    <w:rsid w:val="00271BA0"/>
    <w:rsid w:val="00277DCA"/>
    <w:rsid w:val="002803E3"/>
    <w:rsid w:val="00280F19"/>
    <w:rsid w:val="0028367E"/>
    <w:rsid w:val="002838C1"/>
    <w:rsid w:val="002851B1"/>
    <w:rsid w:val="002878D9"/>
    <w:rsid w:val="0028794F"/>
    <w:rsid w:val="00292106"/>
    <w:rsid w:val="00292E5E"/>
    <w:rsid w:val="00293EAE"/>
    <w:rsid w:val="00295A94"/>
    <w:rsid w:val="002A4066"/>
    <w:rsid w:val="002A539A"/>
    <w:rsid w:val="002B2038"/>
    <w:rsid w:val="002B312A"/>
    <w:rsid w:val="002C6CFC"/>
    <w:rsid w:val="002E6E21"/>
    <w:rsid w:val="002F27A5"/>
    <w:rsid w:val="002F48DA"/>
    <w:rsid w:val="00305116"/>
    <w:rsid w:val="00312045"/>
    <w:rsid w:val="00316414"/>
    <w:rsid w:val="00321594"/>
    <w:rsid w:val="00321AE5"/>
    <w:rsid w:val="00325BCB"/>
    <w:rsid w:val="003264FF"/>
    <w:rsid w:val="00331871"/>
    <w:rsid w:val="0033624D"/>
    <w:rsid w:val="003406AB"/>
    <w:rsid w:val="00341B50"/>
    <w:rsid w:val="0034407D"/>
    <w:rsid w:val="00347C71"/>
    <w:rsid w:val="00350C45"/>
    <w:rsid w:val="00352C3B"/>
    <w:rsid w:val="003563A8"/>
    <w:rsid w:val="00363FE1"/>
    <w:rsid w:val="003670F3"/>
    <w:rsid w:val="003766CE"/>
    <w:rsid w:val="003777A5"/>
    <w:rsid w:val="00382F0F"/>
    <w:rsid w:val="00384BA6"/>
    <w:rsid w:val="003A2D6B"/>
    <w:rsid w:val="003A402A"/>
    <w:rsid w:val="003A4356"/>
    <w:rsid w:val="003A53ED"/>
    <w:rsid w:val="003A7477"/>
    <w:rsid w:val="003C057C"/>
    <w:rsid w:val="003C100D"/>
    <w:rsid w:val="003C33A1"/>
    <w:rsid w:val="003D123C"/>
    <w:rsid w:val="003E0837"/>
    <w:rsid w:val="003E39D3"/>
    <w:rsid w:val="003F11DE"/>
    <w:rsid w:val="003F5059"/>
    <w:rsid w:val="003F5BB2"/>
    <w:rsid w:val="004010C1"/>
    <w:rsid w:val="00401BAA"/>
    <w:rsid w:val="00402339"/>
    <w:rsid w:val="00413D67"/>
    <w:rsid w:val="00427004"/>
    <w:rsid w:val="00427DDE"/>
    <w:rsid w:val="004300E0"/>
    <w:rsid w:val="00434869"/>
    <w:rsid w:val="0043621F"/>
    <w:rsid w:val="00445014"/>
    <w:rsid w:val="00446686"/>
    <w:rsid w:val="00454AEF"/>
    <w:rsid w:val="004578FE"/>
    <w:rsid w:val="00464E1A"/>
    <w:rsid w:val="0047493B"/>
    <w:rsid w:val="00475528"/>
    <w:rsid w:val="004902C9"/>
    <w:rsid w:val="00491E5B"/>
    <w:rsid w:val="00497DCA"/>
    <w:rsid w:val="00497F0F"/>
    <w:rsid w:val="004A22F5"/>
    <w:rsid w:val="004A3C3F"/>
    <w:rsid w:val="004A55CF"/>
    <w:rsid w:val="004A6429"/>
    <w:rsid w:val="004B0CC1"/>
    <w:rsid w:val="004B71FD"/>
    <w:rsid w:val="004C4831"/>
    <w:rsid w:val="004C54D0"/>
    <w:rsid w:val="004D0212"/>
    <w:rsid w:val="004D4B3B"/>
    <w:rsid w:val="004F74E1"/>
    <w:rsid w:val="004F7B35"/>
    <w:rsid w:val="00515212"/>
    <w:rsid w:val="00516082"/>
    <w:rsid w:val="0051678D"/>
    <w:rsid w:val="0052117A"/>
    <w:rsid w:val="005222F6"/>
    <w:rsid w:val="00524073"/>
    <w:rsid w:val="005261EF"/>
    <w:rsid w:val="00530F90"/>
    <w:rsid w:val="00541037"/>
    <w:rsid w:val="005470CC"/>
    <w:rsid w:val="00553E71"/>
    <w:rsid w:val="00566B6D"/>
    <w:rsid w:val="005671BD"/>
    <w:rsid w:val="00572F6B"/>
    <w:rsid w:val="00575C2C"/>
    <w:rsid w:val="00576D7E"/>
    <w:rsid w:val="0057724E"/>
    <w:rsid w:val="00581442"/>
    <w:rsid w:val="00581474"/>
    <w:rsid w:val="005814A1"/>
    <w:rsid w:val="0058314A"/>
    <w:rsid w:val="00590286"/>
    <w:rsid w:val="0059217F"/>
    <w:rsid w:val="005A18B6"/>
    <w:rsid w:val="005B2FCE"/>
    <w:rsid w:val="005E13A6"/>
    <w:rsid w:val="005F4584"/>
    <w:rsid w:val="006025ED"/>
    <w:rsid w:val="006036D9"/>
    <w:rsid w:val="006118B6"/>
    <w:rsid w:val="0061369E"/>
    <w:rsid w:val="00615339"/>
    <w:rsid w:val="00620264"/>
    <w:rsid w:val="00621B0D"/>
    <w:rsid w:val="00622384"/>
    <w:rsid w:val="00622E2C"/>
    <w:rsid w:val="00636B42"/>
    <w:rsid w:val="0064284E"/>
    <w:rsid w:val="00646412"/>
    <w:rsid w:val="00650A0B"/>
    <w:rsid w:val="00651100"/>
    <w:rsid w:val="0065559A"/>
    <w:rsid w:val="0065755A"/>
    <w:rsid w:val="006621CC"/>
    <w:rsid w:val="0066478E"/>
    <w:rsid w:val="00671D6A"/>
    <w:rsid w:val="006732E2"/>
    <w:rsid w:val="00683FB6"/>
    <w:rsid w:val="00687B52"/>
    <w:rsid w:val="006943C2"/>
    <w:rsid w:val="00696628"/>
    <w:rsid w:val="006B0DD7"/>
    <w:rsid w:val="006C2704"/>
    <w:rsid w:val="006C5A58"/>
    <w:rsid w:val="006D4BB0"/>
    <w:rsid w:val="006E2291"/>
    <w:rsid w:val="006E2586"/>
    <w:rsid w:val="006E46BA"/>
    <w:rsid w:val="006E46DB"/>
    <w:rsid w:val="006E4C9C"/>
    <w:rsid w:val="006E62CB"/>
    <w:rsid w:val="006F06AC"/>
    <w:rsid w:val="006F57F6"/>
    <w:rsid w:val="006F6CD6"/>
    <w:rsid w:val="00700E9E"/>
    <w:rsid w:val="0072099C"/>
    <w:rsid w:val="007212E1"/>
    <w:rsid w:val="00723394"/>
    <w:rsid w:val="00730990"/>
    <w:rsid w:val="007415EF"/>
    <w:rsid w:val="007447F2"/>
    <w:rsid w:val="00750FB6"/>
    <w:rsid w:val="00756EE9"/>
    <w:rsid w:val="00763F6B"/>
    <w:rsid w:val="00765134"/>
    <w:rsid w:val="00772B4D"/>
    <w:rsid w:val="0078193A"/>
    <w:rsid w:val="007846A7"/>
    <w:rsid w:val="007868C0"/>
    <w:rsid w:val="00786C31"/>
    <w:rsid w:val="00787CC8"/>
    <w:rsid w:val="007B0D8A"/>
    <w:rsid w:val="007C57DF"/>
    <w:rsid w:val="007C67FF"/>
    <w:rsid w:val="007D16FF"/>
    <w:rsid w:val="007D2724"/>
    <w:rsid w:val="007E0C4C"/>
    <w:rsid w:val="007E316C"/>
    <w:rsid w:val="007F47CE"/>
    <w:rsid w:val="007F62BF"/>
    <w:rsid w:val="007F7041"/>
    <w:rsid w:val="00800CA4"/>
    <w:rsid w:val="00804553"/>
    <w:rsid w:val="00804772"/>
    <w:rsid w:val="00815A8F"/>
    <w:rsid w:val="008244EE"/>
    <w:rsid w:val="00826449"/>
    <w:rsid w:val="00827B5E"/>
    <w:rsid w:val="008321E4"/>
    <w:rsid w:val="008363EA"/>
    <w:rsid w:val="00843F81"/>
    <w:rsid w:val="00854212"/>
    <w:rsid w:val="00860EE3"/>
    <w:rsid w:val="0086570D"/>
    <w:rsid w:val="00865F2F"/>
    <w:rsid w:val="00866831"/>
    <w:rsid w:val="00866D95"/>
    <w:rsid w:val="008672EA"/>
    <w:rsid w:val="00874436"/>
    <w:rsid w:val="00875474"/>
    <w:rsid w:val="00875FA2"/>
    <w:rsid w:val="008762AB"/>
    <w:rsid w:val="008808D1"/>
    <w:rsid w:val="0088505E"/>
    <w:rsid w:val="00886004"/>
    <w:rsid w:val="0089645C"/>
    <w:rsid w:val="008A14D0"/>
    <w:rsid w:val="008B34CD"/>
    <w:rsid w:val="008B514D"/>
    <w:rsid w:val="008C3658"/>
    <w:rsid w:val="008C6DEB"/>
    <w:rsid w:val="008C78BA"/>
    <w:rsid w:val="008D0A61"/>
    <w:rsid w:val="008D336D"/>
    <w:rsid w:val="008D3B3A"/>
    <w:rsid w:val="008D4C02"/>
    <w:rsid w:val="008D58AB"/>
    <w:rsid w:val="008D5B7E"/>
    <w:rsid w:val="008E0964"/>
    <w:rsid w:val="008E2747"/>
    <w:rsid w:val="008E38C2"/>
    <w:rsid w:val="008E55D6"/>
    <w:rsid w:val="008E5D86"/>
    <w:rsid w:val="008F2023"/>
    <w:rsid w:val="00900CFE"/>
    <w:rsid w:val="00905C58"/>
    <w:rsid w:val="00912113"/>
    <w:rsid w:val="009142D5"/>
    <w:rsid w:val="00934B0E"/>
    <w:rsid w:val="00937601"/>
    <w:rsid w:val="00962074"/>
    <w:rsid w:val="00970ECD"/>
    <w:rsid w:val="00970F93"/>
    <w:rsid w:val="009752ED"/>
    <w:rsid w:val="009757C0"/>
    <w:rsid w:val="00997307"/>
    <w:rsid w:val="009A4405"/>
    <w:rsid w:val="009A6F83"/>
    <w:rsid w:val="009C0E96"/>
    <w:rsid w:val="009C3731"/>
    <w:rsid w:val="009C7D1C"/>
    <w:rsid w:val="009D20E6"/>
    <w:rsid w:val="009D29E6"/>
    <w:rsid w:val="009D3069"/>
    <w:rsid w:val="009D7626"/>
    <w:rsid w:val="009E5207"/>
    <w:rsid w:val="009F60DD"/>
    <w:rsid w:val="00A002E2"/>
    <w:rsid w:val="00A10263"/>
    <w:rsid w:val="00A1525D"/>
    <w:rsid w:val="00A162F3"/>
    <w:rsid w:val="00A17BBE"/>
    <w:rsid w:val="00A2197B"/>
    <w:rsid w:val="00A241D5"/>
    <w:rsid w:val="00A41AA3"/>
    <w:rsid w:val="00A45F74"/>
    <w:rsid w:val="00A47D16"/>
    <w:rsid w:val="00A53C64"/>
    <w:rsid w:val="00A54F17"/>
    <w:rsid w:val="00A654D4"/>
    <w:rsid w:val="00A67D0B"/>
    <w:rsid w:val="00A83796"/>
    <w:rsid w:val="00A930EA"/>
    <w:rsid w:val="00A9439F"/>
    <w:rsid w:val="00A95465"/>
    <w:rsid w:val="00A95716"/>
    <w:rsid w:val="00AA0A00"/>
    <w:rsid w:val="00AA4031"/>
    <w:rsid w:val="00AA4225"/>
    <w:rsid w:val="00AA6862"/>
    <w:rsid w:val="00AB4FB8"/>
    <w:rsid w:val="00AB603C"/>
    <w:rsid w:val="00AC4CDA"/>
    <w:rsid w:val="00AD0DB1"/>
    <w:rsid w:val="00AD1804"/>
    <w:rsid w:val="00AD5B41"/>
    <w:rsid w:val="00AE34BE"/>
    <w:rsid w:val="00AE4B3A"/>
    <w:rsid w:val="00AF72D0"/>
    <w:rsid w:val="00B0504C"/>
    <w:rsid w:val="00B076A3"/>
    <w:rsid w:val="00B10EB6"/>
    <w:rsid w:val="00B16B31"/>
    <w:rsid w:val="00B17586"/>
    <w:rsid w:val="00B30B90"/>
    <w:rsid w:val="00B41A7E"/>
    <w:rsid w:val="00B465C6"/>
    <w:rsid w:val="00B4701A"/>
    <w:rsid w:val="00B51DA0"/>
    <w:rsid w:val="00B62746"/>
    <w:rsid w:val="00B65864"/>
    <w:rsid w:val="00B7311A"/>
    <w:rsid w:val="00B75B15"/>
    <w:rsid w:val="00B76AB4"/>
    <w:rsid w:val="00B77FCA"/>
    <w:rsid w:val="00B85AEB"/>
    <w:rsid w:val="00B95889"/>
    <w:rsid w:val="00BA3F48"/>
    <w:rsid w:val="00BA482B"/>
    <w:rsid w:val="00BB491C"/>
    <w:rsid w:val="00BC4867"/>
    <w:rsid w:val="00BC7E13"/>
    <w:rsid w:val="00BD13E6"/>
    <w:rsid w:val="00BD5795"/>
    <w:rsid w:val="00BD579B"/>
    <w:rsid w:val="00BD79A1"/>
    <w:rsid w:val="00BE0483"/>
    <w:rsid w:val="00BE46B1"/>
    <w:rsid w:val="00BE5084"/>
    <w:rsid w:val="00BF1A99"/>
    <w:rsid w:val="00BF2E15"/>
    <w:rsid w:val="00BF5E42"/>
    <w:rsid w:val="00BF6C17"/>
    <w:rsid w:val="00C2468D"/>
    <w:rsid w:val="00C30024"/>
    <w:rsid w:val="00C350D7"/>
    <w:rsid w:val="00C42EE8"/>
    <w:rsid w:val="00C571CB"/>
    <w:rsid w:val="00C627C8"/>
    <w:rsid w:val="00C63C35"/>
    <w:rsid w:val="00C67B08"/>
    <w:rsid w:val="00C742D1"/>
    <w:rsid w:val="00C8354D"/>
    <w:rsid w:val="00C90E11"/>
    <w:rsid w:val="00CA48BF"/>
    <w:rsid w:val="00CB4F5C"/>
    <w:rsid w:val="00CB6123"/>
    <w:rsid w:val="00CB6475"/>
    <w:rsid w:val="00CC0B23"/>
    <w:rsid w:val="00CC24A9"/>
    <w:rsid w:val="00CC45DD"/>
    <w:rsid w:val="00CC4C95"/>
    <w:rsid w:val="00CD0005"/>
    <w:rsid w:val="00CE05AA"/>
    <w:rsid w:val="00CE1C24"/>
    <w:rsid w:val="00CE3562"/>
    <w:rsid w:val="00CF4538"/>
    <w:rsid w:val="00CF4A1B"/>
    <w:rsid w:val="00CF4D85"/>
    <w:rsid w:val="00D04CDC"/>
    <w:rsid w:val="00D06345"/>
    <w:rsid w:val="00D06D29"/>
    <w:rsid w:val="00D1463D"/>
    <w:rsid w:val="00D15D60"/>
    <w:rsid w:val="00D211F3"/>
    <w:rsid w:val="00D216E2"/>
    <w:rsid w:val="00D24436"/>
    <w:rsid w:val="00D361D5"/>
    <w:rsid w:val="00D37EC2"/>
    <w:rsid w:val="00D559EC"/>
    <w:rsid w:val="00D6237E"/>
    <w:rsid w:val="00D65DA0"/>
    <w:rsid w:val="00D76760"/>
    <w:rsid w:val="00D80D38"/>
    <w:rsid w:val="00D90EA3"/>
    <w:rsid w:val="00DA150D"/>
    <w:rsid w:val="00DA4A62"/>
    <w:rsid w:val="00DB1167"/>
    <w:rsid w:val="00DB1EA6"/>
    <w:rsid w:val="00DB2C93"/>
    <w:rsid w:val="00DB486C"/>
    <w:rsid w:val="00DC2EDF"/>
    <w:rsid w:val="00DC751D"/>
    <w:rsid w:val="00DD0C8E"/>
    <w:rsid w:val="00DD124E"/>
    <w:rsid w:val="00DD1F80"/>
    <w:rsid w:val="00DD20C1"/>
    <w:rsid w:val="00DD5E73"/>
    <w:rsid w:val="00DE4602"/>
    <w:rsid w:val="00DE46E0"/>
    <w:rsid w:val="00DF0947"/>
    <w:rsid w:val="00E015A3"/>
    <w:rsid w:val="00E01723"/>
    <w:rsid w:val="00E02875"/>
    <w:rsid w:val="00E13BD5"/>
    <w:rsid w:val="00E166A0"/>
    <w:rsid w:val="00E22055"/>
    <w:rsid w:val="00E31711"/>
    <w:rsid w:val="00E43608"/>
    <w:rsid w:val="00E476A5"/>
    <w:rsid w:val="00E5382C"/>
    <w:rsid w:val="00E55BBE"/>
    <w:rsid w:val="00E70035"/>
    <w:rsid w:val="00E7165C"/>
    <w:rsid w:val="00E74B45"/>
    <w:rsid w:val="00E75CBE"/>
    <w:rsid w:val="00E82F05"/>
    <w:rsid w:val="00E83DCD"/>
    <w:rsid w:val="00E86A68"/>
    <w:rsid w:val="00E91837"/>
    <w:rsid w:val="00E92391"/>
    <w:rsid w:val="00EA3B55"/>
    <w:rsid w:val="00EA5FC7"/>
    <w:rsid w:val="00EA66AD"/>
    <w:rsid w:val="00EA7731"/>
    <w:rsid w:val="00EB26D5"/>
    <w:rsid w:val="00EB7549"/>
    <w:rsid w:val="00EB7974"/>
    <w:rsid w:val="00EC0133"/>
    <w:rsid w:val="00EC0DD9"/>
    <w:rsid w:val="00ED43FC"/>
    <w:rsid w:val="00ED699C"/>
    <w:rsid w:val="00EE5522"/>
    <w:rsid w:val="00EE6521"/>
    <w:rsid w:val="00EE6B12"/>
    <w:rsid w:val="00EF1537"/>
    <w:rsid w:val="00EF5854"/>
    <w:rsid w:val="00EF6CD8"/>
    <w:rsid w:val="00F01DCA"/>
    <w:rsid w:val="00F042A0"/>
    <w:rsid w:val="00F12888"/>
    <w:rsid w:val="00F21920"/>
    <w:rsid w:val="00F25763"/>
    <w:rsid w:val="00F272D4"/>
    <w:rsid w:val="00F277E0"/>
    <w:rsid w:val="00F421BC"/>
    <w:rsid w:val="00F445AF"/>
    <w:rsid w:val="00F55684"/>
    <w:rsid w:val="00F64177"/>
    <w:rsid w:val="00F65103"/>
    <w:rsid w:val="00F70709"/>
    <w:rsid w:val="00F70CC9"/>
    <w:rsid w:val="00F71892"/>
    <w:rsid w:val="00F7599B"/>
    <w:rsid w:val="00F8031B"/>
    <w:rsid w:val="00F858DB"/>
    <w:rsid w:val="00F86568"/>
    <w:rsid w:val="00FA3D58"/>
    <w:rsid w:val="00FA7BF1"/>
    <w:rsid w:val="00FD15AF"/>
    <w:rsid w:val="00FD25B2"/>
    <w:rsid w:val="00FD3D59"/>
    <w:rsid w:val="00FE399D"/>
    <w:rsid w:val="00FE5048"/>
    <w:rsid w:val="00FE553D"/>
    <w:rsid w:val="00FF03A6"/>
    <w:rsid w:val="00FF1A1C"/>
    <w:rsid w:val="00FF2522"/>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0C0127"/>
  <w15:chartTrackingRefBased/>
  <w15:docId w15:val="{458434A5-1FA8-4A75-8600-225705D4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F6CD8"/>
    <w:pPr>
      <w:spacing w:after="120" w:line="240" w:lineRule="auto"/>
    </w:pPr>
    <w:rPr>
      <w:rFonts w:eastAsia="Times New Roman" w:cs="Times New Roman"/>
      <w:szCs w:val="20"/>
    </w:rPr>
  </w:style>
  <w:style w:type="paragraph" w:styleId="Heading1">
    <w:name w:val="heading 1"/>
    <w:aliases w:val="Heading 1/Title"/>
    <w:next w:val="Subtitle"/>
    <w:link w:val="Heading1Char"/>
    <w:qFormat/>
    <w:rsid w:val="00EF6CD8"/>
    <w:pPr>
      <w:spacing w:before="2880" w:after="0" w:line="240" w:lineRule="auto"/>
      <w:jc w:val="center"/>
      <w:outlineLvl w:val="0"/>
    </w:pPr>
    <w:rPr>
      <w:rFonts w:ascii="Franklin Gothic Demi" w:eastAsia="Times New Roman" w:hAnsi="Franklin Gothic Demi" w:cs="Times New Roman"/>
      <w:sz w:val="40"/>
      <w:szCs w:val="20"/>
    </w:rPr>
  </w:style>
  <w:style w:type="paragraph" w:styleId="Heading2">
    <w:name w:val="heading 2"/>
    <w:basedOn w:val="Normal"/>
    <w:next w:val="Normal"/>
    <w:link w:val="Heading2Char"/>
    <w:qFormat/>
    <w:rsid w:val="00EF6CD8"/>
    <w:pPr>
      <w:keepNext/>
      <w:pageBreakBefore/>
      <w:spacing w:before="360" w:after="240"/>
      <w:jc w:val="center"/>
      <w:outlineLvl w:val="1"/>
    </w:pPr>
    <w:rPr>
      <w:rFonts w:ascii="Arial" w:hAnsi="Arial"/>
      <w:b/>
      <w:sz w:val="36"/>
      <w:szCs w:val="32"/>
    </w:rPr>
  </w:style>
  <w:style w:type="paragraph" w:styleId="Heading3">
    <w:name w:val="heading 3"/>
    <w:basedOn w:val="Normal"/>
    <w:next w:val="Normal"/>
    <w:link w:val="Heading3Char"/>
    <w:qFormat/>
    <w:rsid w:val="00EF6CD8"/>
    <w:pPr>
      <w:keepNext/>
      <w:spacing w:before="360" w:after="240"/>
      <w:outlineLvl w:val="2"/>
    </w:pPr>
    <w:rPr>
      <w:rFonts w:ascii="Arial" w:hAnsi="Arial"/>
      <w:b/>
      <w:sz w:val="32"/>
      <w:szCs w:val="28"/>
    </w:rPr>
  </w:style>
  <w:style w:type="paragraph" w:styleId="Heading4">
    <w:name w:val="heading 4"/>
    <w:basedOn w:val="Normal"/>
    <w:next w:val="Normal"/>
    <w:link w:val="Heading4Char"/>
    <w:qFormat/>
    <w:rsid w:val="00EF6CD8"/>
    <w:pPr>
      <w:keepNext/>
      <w:spacing w:before="240" w:after="60"/>
      <w:outlineLvl w:val="3"/>
    </w:pPr>
    <w:rPr>
      <w:rFonts w:ascii="Arial" w:hAnsi="Arial"/>
      <w:b/>
      <w:sz w:val="28"/>
    </w:rPr>
  </w:style>
  <w:style w:type="paragraph" w:styleId="Heading5">
    <w:name w:val="heading 5"/>
    <w:basedOn w:val="Normal"/>
    <w:next w:val="Normal"/>
    <w:link w:val="Heading5Char"/>
    <w:qFormat/>
    <w:rsid w:val="00EF6CD8"/>
    <w:pPr>
      <w:keepNext/>
      <w:spacing w:before="240" w:after="0"/>
      <w:outlineLvl w:val="4"/>
    </w:pPr>
    <w:rPr>
      <w:b/>
    </w:rPr>
  </w:style>
  <w:style w:type="paragraph" w:styleId="Heading6">
    <w:name w:val="heading 6"/>
    <w:basedOn w:val="Normal"/>
    <w:next w:val="Normal"/>
    <w:link w:val="Heading6Char"/>
    <w:qFormat/>
    <w:rsid w:val="00EF6CD8"/>
    <w:pPr>
      <w:keepNext/>
      <w:spacing w:before="120" w:after="0"/>
      <w:outlineLvl w:val="5"/>
    </w:pPr>
    <w:rPr>
      <w:i/>
    </w:rPr>
  </w:style>
  <w:style w:type="paragraph" w:styleId="Heading7">
    <w:name w:val="heading 7"/>
    <w:basedOn w:val="Normal"/>
    <w:next w:val="Normal"/>
    <w:link w:val="Heading7Char"/>
    <w:rsid w:val="00EF6CD8"/>
    <w:pPr>
      <w:keepNext/>
      <w:spacing w:before="360"/>
      <w:jc w:val="center"/>
      <w:outlineLvl w:val="6"/>
    </w:pPr>
    <w:rPr>
      <w:rFonts w:ascii="Arial" w:hAnsi="Arial"/>
      <w:b/>
      <w:sz w:val="48"/>
    </w:rPr>
  </w:style>
  <w:style w:type="paragraph" w:styleId="Heading8">
    <w:name w:val="heading 8"/>
    <w:basedOn w:val="Normal"/>
    <w:next w:val="Normal"/>
    <w:link w:val="Heading8Char"/>
    <w:rsid w:val="00EF6CD8"/>
    <w:pPr>
      <w:keepNext/>
      <w:ind w:left="720" w:right="720"/>
      <w:jc w:val="center"/>
      <w:outlineLvl w:val="7"/>
    </w:pPr>
    <w:rPr>
      <w:i/>
    </w:rPr>
  </w:style>
  <w:style w:type="paragraph" w:styleId="Heading9">
    <w:name w:val="heading 9"/>
    <w:basedOn w:val="Normal"/>
    <w:next w:val="Normal"/>
    <w:link w:val="Heading9Char"/>
    <w:rsid w:val="00EF6CD8"/>
    <w:pPr>
      <w:keepNext/>
      <w:tabs>
        <w:tab w:val="left" w:pos="-1440"/>
        <w:tab w:val="left" w:pos="-720"/>
        <w:tab w:val="left" w:pos="0"/>
        <w:tab w:val="left" w:pos="360"/>
        <w:tab w:val="left" w:pos="1440"/>
      </w:tabs>
      <w:suppressAutoHyphen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Title Char"/>
    <w:basedOn w:val="DefaultParagraphFont"/>
    <w:link w:val="Heading1"/>
    <w:rsid w:val="00EF6CD8"/>
    <w:rPr>
      <w:rFonts w:ascii="Franklin Gothic Demi" w:eastAsia="Times New Roman" w:hAnsi="Franklin Gothic Demi" w:cs="Times New Roman"/>
      <w:sz w:val="40"/>
      <w:szCs w:val="20"/>
    </w:rPr>
  </w:style>
  <w:style w:type="character" w:customStyle="1" w:styleId="Heading2Char">
    <w:name w:val="Heading 2 Char"/>
    <w:basedOn w:val="DefaultParagraphFont"/>
    <w:link w:val="Heading2"/>
    <w:rsid w:val="00EF6CD8"/>
    <w:rPr>
      <w:rFonts w:ascii="Arial" w:eastAsia="Times New Roman" w:hAnsi="Arial" w:cs="Times New Roman"/>
      <w:b/>
      <w:sz w:val="36"/>
      <w:szCs w:val="32"/>
    </w:rPr>
  </w:style>
  <w:style w:type="character" w:customStyle="1" w:styleId="Heading3Char">
    <w:name w:val="Heading 3 Char"/>
    <w:basedOn w:val="DefaultParagraphFont"/>
    <w:link w:val="Heading3"/>
    <w:rsid w:val="00EF6CD8"/>
    <w:rPr>
      <w:rFonts w:ascii="Arial" w:eastAsia="Times New Roman" w:hAnsi="Arial" w:cs="Times New Roman"/>
      <w:b/>
      <w:sz w:val="32"/>
      <w:szCs w:val="28"/>
    </w:rPr>
  </w:style>
  <w:style w:type="character" w:customStyle="1" w:styleId="Heading4Char">
    <w:name w:val="Heading 4 Char"/>
    <w:basedOn w:val="DefaultParagraphFont"/>
    <w:link w:val="Heading4"/>
    <w:rsid w:val="00EF6CD8"/>
    <w:rPr>
      <w:rFonts w:ascii="Arial" w:eastAsia="Times New Roman" w:hAnsi="Arial" w:cs="Times New Roman"/>
      <w:b/>
      <w:sz w:val="28"/>
      <w:szCs w:val="20"/>
    </w:rPr>
  </w:style>
  <w:style w:type="character" w:customStyle="1" w:styleId="Heading5Char">
    <w:name w:val="Heading 5 Char"/>
    <w:basedOn w:val="DefaultParagraphFont"/>
    <w:link w:val="Heading5"/>
    <w:rsid w:val="00EF6CD8"/>
    <w:rPr>
      <w:rFonts w:eastAsia="Times New Roman" w:cs="Times New Roman"/>
      <w:b/>
      <w:szCs w:val="20"/>
    </w:rPr>
  </w:style>
  <w:style w:type="character" w:customStyle="1" w:styleId="Heading6Char">
    <w:name w:val="Heading 6 Char"/>
    <w:basedOn w:val="DefaultParagraphFont"/>
    <w:link w:val="Heading6"/>
    <w:rsid w:val="00EF6CD8"/>
    <w:rPr>
      <w:rFonts w:eastAsia="Times New Roman" w:cs="Times New Roman"/>
      <w:i/>
      <w:szCs w:val="20"/>
    </w:rPr>
  </w:style>
  <w:style w:type="character" w:customStyle="1" w:styleId="Heading7Char">
    <w:name w:val="Heading 7 Char"/>
    <w:basedOn w:val="DefaultParagraphFont"/>
    <w:link w:val="Heading7"/>
    <w:rsid w:val="00EF6CD8"/>
    <w:rPr>
      <w:rFonts w:ascii="Arial" w:eastAsia="Times New Roman" w:hAnsi="Arial" w:cs="Times New Roman"/>
      <w:b/>
      <w:sz w:val="48"/>
      <w:szCs w:val="20"/>
    </w:rPr>
  </w:style>
  <w:style w:type="character" w:customStyle="1" w:styleId="Heading8Char">
    <w:name w:val="Heading 8 Char"/>
    <w:basedOn w:val="DefaultParagraphFont"/>
    <w:link w:val="Heading8"/>
    <w:rsid w:val="00EF6CD8"/>
    <w:rPr>
      <w:rFonts w:eastAsia="Times New Roman" w:cs="Times New Roman"/>
      <w:i/>
      <w:szCs w:val="20"/>
    </w:rPr>
  </w:style>
  <w:style w:type="character" w:customStyle="1" w:styleId="Heading9Char">
    <w:name w:val="Heading 9 Char"/>
    <w:basedOn w:val="DefaultParagraphFont"/>
    <w:link w:val="Heading9"/>
    <w:rsid w:val="00EF6CD8"/>
    <w:rPr>
      <w:rFonts w:eastAsia="Times New Roman" w:cs="Times New Roman"/>
      <w:b/>
      <w:szCs w:val="20"/>
    </w:rPr>
  </w:style>
  <w:style w:type="paragraph" w:styleId="TOC1">
    <w:name w:val="toc 1"/>
    <w:basedOn w:val="Normal"/>
    <w:next w:val="Normal"/>
    <w:autoRedefine/>
    <w:uiPriority w:val="39"/>
    <w:rsid w:val="009D20E6"/>
    <w:pPr>
      <w:spacing w:before="120"/>
    </w:pPr>
    <w:rPr>
      <w:rFonts w:asciiTheme="minorHAnsi" w:hAnsiTheme="minorHAnsi" w:cstheme="minorHAnsi"/>
      <w:b/>
      <w:bCs/>
      <w:caps/>
      <w:sz w:val="20"/>
    </w:rPr>
  </w:style>
  <w:style w:type="paragraph" w:styleId="TOC2">
    <w:name w:val="toc 2"/>
    <w:basedOn w:val="Normal"/>
    <w:next w:val="Normal"/>
    <w:uiPriority w:val="39"/>
    <w:rsid w:val="009D20E6"/>
    <w:pPr>
      <w:spacing w:after="0"/>
      <w:ind w:left="240"/>
    </w:pPr>
    <w:rPr>
      <w:rFonts w:asciiTheme="minorHAnsi" w:hAnsiTheme="minorHAnsi" w:cstheme="minorHAnsi"/>
      <w:smallCaps/>
      <w:sz w:val="20"/>
    </w:rPr>
  </w:style>
  <w:style w:type="paragraph" w:styleId="Header">
    <w:name w:val="header"/>
    <w:basedOn w:val="Normal"/>
    <w:link w:val="HeaderChar"/>
    <w:uiPriority w:val="99"/>
    <w:rsid w:val="00EF6CD8"/>
    <w:pPr>
      <w:tabs>
        <w:tab w:val="center" w:pos="4320"/>
        <w:tab w:val="right" w:pos="8640"/>
      </w:tabs>
    </w:pPr>
  </w:style>
  <w:style w:type="character" w:customStyle="1" w:styleId="HeaderChar">
    <w:name w:val="Header Char"/>
    <w:basedOn w:val="DefaultParagraphFont"/>
    <w:link w:val="Header"/>
    <w:uiPriority w:val="99"/>
    <w:rsid w:val="00EF6CD8"/>
    <w:rPr>
      <w:rFonts w:eastAsia="Times New Roman" w:cs="Times New Roman"/>
      <w:szCs w:val="20"/>
    </w:rPr>
  </w:style>
  <w:style w:type="paragraph" w:styleId="Footer">
    <w:name w:val="footer"/>
    <w:basedOn w:val="Normal"/>
    <w:link w:val="FooterChar"/>
    <w:uiPriority w:val="99"/>
    <w:rsid w:val="00EF6CD8"/>
    <w:pPr>
      <w:tabs>
        <w:tab w:val="center" w:pos="4320"/>
        <w:tab w:val="right" w:pos="8640"/>
      </w:tabs>
    </w:pPr>
  </w:style>
  <w:style w:type="character" w:customStyle="1" w:styleId="FooterChar">
    <w:name w:val="Footer Char"/>
    <w:basedOn w:val="DefaultParagraphFont"/>
    <w:link w:val="Footer"/>
    <w:uiPriority w:val="99"/>
    <w:rsid w:val="00EF6CD8"/>
    <w:rPr>
      <w:rFonts w:eastAsia="Times New Roman" w:cs="Times New Roman"/>
      <w:szCs w:val="20"/>
    </w:rPr>
  </w:style>
  <w:style w:type="character" w:styleId="PageNumber">
    <w:name w:val="page number"/>
    <w:basedOn w:val="DefaultParagraphFont"/>
    <w:rsid w:val="00EF6CD8"/>
  </w:style>
  <w:style w:type="paragraph" w:styleId="Subtitle">
    <w:name w:val="Subtitle"/>
    <w:basedOn w:val="Heading1"/>
    <w:link w:val="SubtitleChar"/>
    <w:qFormat/>
    <w:rsid w:val="00EF6CD8"/>
    <w:pPr>
      <w:spacing w:before="0"/>
      <w:ind w:left="720" w:right="720"/>
    </w:pPr>
    <w:rPr>
      <w:rFonts w:ascii="Book Antiqua" w:hAnsi="Book Antiqua"/>
      <w:b/>
      <w:i/>
      <w:szCs w:val="40"/>
    </w:rPr>
  </w:style>
  <w:style w:type="character" w:customStyle="1" w:styleId="SubtitleChar">
    <w:name w:val="Subtitle Char"/>
    <w:basedOn w:val="DefaultParagraphFont"/>
    <w:link w:val="Subtitle"/>
    <w:rsid w:val="00EF6CD8"/>
    <w:rPr>
      <w:rFonts w:ascii="Book Antiqua" w:eastAsia="Times New Roman" w:hAnsi="Book Antiqua" w:cs="Times New Roman"/>
      <w:b/>
      <w:i/>
      <w:sz w:val="40"/>
      <w:szCs w:val="40"/>
    </w:rPr>
  </w:style>
  <w:style w:type="character" w:customStyle="1" w:styleId="a">
    <w:name w:val="_"/>
    <w:basedOn w:val="DefaultParagraphFont"/>
    <w:semiHidden/>
    <w:rsid w:val="00EF6CD8"/>
  </w:style>
  <w:style w:type="paragraph" w:styleId="TOC3">
    <w:name w:val="toc 3"/>
    <w:basedOn w:val="Normal"/>
    <w:next w:val="Normal"/>
    <w:uiPriority w:val="39"/>
    <w:rsid w:val="00EF6CD8"/>
    <w:pPr>
      <w:spacing w:after="0"/>
      <w:ind w:left="480"/>
    </w:pPr>
    <w:rPr>
      <w:rFonts w:asciiTheme="minorHAnsi" w:hAnsiTheme="minorHAnsi" w:cstheme="minorHAnsi"/>
      <w:i/>
      <w:iCs/>
      <w:sz w:val="20"/>
    </w:rPr>
  </w:style>
  <w:style w:type="paragraph" w:styleId="TOC4">
    <w:name w:val="toc 4"/>
    <w:basedOn w:val="Normal"/>
    <w:next w:val="Normal"/>
    <w:autoRedefine/>
    <w:uiPriority w:val="39"/>
    <w:rsid w:val="00EF6CD8"/>
    <w:pPr>
      <w:spacing w:after="0"/>
      <w:ind w:left="720"/>
    </w:pPr>
    <w:rPr>
      <w:rFonts w:asciiTheme="minorHAnsi" w:hAnsiTheme="minorHAnsi" w:cstheme="minorHAnsi"/>
      <w:sz w:val="18"/>
      <w:szCs w:val="18"/>
    </w:rPr>
  </w:style>
  <w:style w:type="paragraph" w:styleId="TOC5">
    <w:name w:val="toc 5"/>
    <w:basedOn w:val="Normal"/>
    <w:next w:val="Normal"/>
    <w:autoRedefine/>
    <w:uiPriority w:val="39"/>
    <w:rsid w:val="00EF6CD8"/>
    <w:pPr>
      <w:spacing w:after="0"/>
      <w:ind w:left="960"/>
    </w:pPr>
    <w:rPr>
      <w:rFonts w:asciiTheme="minorHAnsi" w:hAnsiTheme="minorHAnsi" w:cstheme="minorHAnsi"/>
      <w:sz w:val="18"/>
      <w:szCs w:val="18"/>
    </w:rPr>
  </w:style>
  <w:style w:type="paragraph" w:styleId="TOC6">
    <w:name w:val="toc 6"/>
    <w:basedOn w:val="Normal"/>
    <w:next w:val="Normal"/>
    <w:autoRedefine/>
    <w:semiHidden/>
    <w:rsid w:val="00EF6CD8"/>
    <w:pPr>
      <w:spacing w:after="0"/>
      <w:ind w:left="1200"/>
    </w:pPr>
    <w:rPr>
      <w:rFonts w:asciiTheme="minorHAnsi" w:hAnsiTheme="minorHAnsi" w:cstheme="minorHAnsi"/>
      <w:sz w:val="18"/>
      <w:szCs w:val="18"/>
    </w:rPr>
  </w:style>
  <w:style w:type="paragraph" w:styleId="TOC7">
    <w:name w:val="toc 7"/>
    <w:basedOn w:val="Normal"/>
    <w:next w:val="Normal"/>
    <w:autoRedefine/>
    <w:semiHidden/>
    <w:rsid w:val="00EF6CD8"/>
    <w:pPr>
      <w:spacing w:after="0"/>
      <w:ind w:left="1440"/>
    </w:pPr>
    <w:rPr>
      <w:rFonts w:asciiTheme="minorHAnsi" w:hAnsiTheme="minorHAnsi" w:cstheme="minorHAnsi"/>
      <w:sz w:val="18"/>
      <w:szCs w:val="18"/>
    </w:rPr>
  </w:style>
  <w:style w:type="paragraph" w:styleId="TOC8">
    <w:name w:val="toc 8"/>
    <w:basedOn w:val="Normal"/>
    <w:next w:val="Normal"/>
    <w:autoRedefine/>
    <w:semiHidden/>
    <w:rsid w:val="00EF6CD8"/>
    <w:pPr>
      <w:spacing w:after="0"/>
      <w:ind w:left="1680"/>
    </w:pPr>
    <w:rPr>
      <w:rFonts w:asciiTheme="minorHAnsi" w:hAnsiTheme="minorHAnsi" w:cstheme="minorHAnsi"/>
      <w:sz w:val="18"/>
      <w:szCs w:val="18"/>
    </w:rPr>
  </w:style>
  <w:style w:type="paragraph" w:styleId="TOC9">
    <w:name w:val="toc 9"/>
    <w:basedOn w:val="Normal"/>
    <w:next w:val="Normal"/>
    <w:autoRedefine/>
    <w:semiHidden/>
    <w:rsid w:val="00EF6CD8"/>
    <w:pPr>
      <w:spacing w:after="0"/>
      <w:ind w:left="1920"/>
    </w:pPr>
    <w:rPr>
      <w:rFonts w:asciiTheme="minorHAnsi" w:hAnsiTheme="minorHAnsi" w:cstheme="minorHAnsi"/>
      <w:sz w:val="18"/>
      <w:szCs w:val="18"/>
    </w:rPr>
  </w:style>
  <w:style w:type="paragraph" w:styleId="BodyText">
    <w:name w:val="Body Text"/>
    <w:basedOn w:val="Normal"/>
    <w:link w:val="BodyTextChar"/>
    <w:semiHidden/>
    <w:rsid w:val="00EF6CD8"/>
    <w:pPr>
      <w:tabs>
        <w:tab w:val="left" w:pos="-1440"/>
        <w:tab w:val="left" w:pos="-720"/>
        <w:tab w:val="left" w:pos="-360"/>
        <w:tab w:val="left" w:pos="360"/>
        <w:tab w:val="left" w:pos="1440"/>
      </w:tabs>
      <w:suppressAutoHyphens/>
      <w:ind w:right="-180"/>
    </w:pPr>
  </w:style>
  <w:style w:type="character" w:customStyle="1" w:styleId="BodyTextChar">
    <w:name w:val="Body Text Char"/>
    <w:basedOn w:val="DefaultParagraphFont"/>
    <w:link w:val="BodyText"/>
    <w:semiHidden/>
    <w:rsid w:val="00EF6CD8"/>
    <w:rPr>
      <w:rFonts w:eastAsia="Times New Roman" w:cs="Times New Roman"/>
      <w:szCs w:val="20"/>
    </w:rPr>
  </w:style>
  <w:style w:type="paragraph" w:styleId="EndnoteText">
    <w:name w:val="endnote text"/>
    <w:basedOn w:val="Normal"/>
    <w:link w:val="EndnoteTextChar"/>
    <w:semiHidden/>
    <w:rsid w:val="00EF6CD8"/>
  </w:style>
  <w:style w:type="character" w:customStyle="1" w:styleId="EndnoteTextChar">
    <w:name w:val="Endnote Text Char"/>
    <w:basedOn w:val="DefaultParagraphFont"/>
    <w:link w:val="EndnoteText"/>
    <w:semiHidden/>
    <w:rsid w:val="00EF6CD8"/>
    <w:rPr>
      <w:rFonts w:eastAsia="Times New Roman" w:cs="Times New Roman"/>
      <w:szCs w:val="20"/>
    </w:rPr>
  </w:style>
  <w:style w:type="paragraph" w:styleId="BodyTextIndent">
    <w:name w:val="Body Text Indent"/>
    <w:basedOn w:val="Normal"/>
    <w:link w:val="BodyTextIndentChar"/>
    <w:semiHidden/>
    <w:rsid w:val="00EF6CD8"/>
    <w:pPr>
      <w:tabs>
        <w:tab w:val="center" w:pos="4860"/>
      </w:tabs>
      <w:suppressAutoHyphens/>
      <w:ind w:left="360" w:hanging="360"/>
    </w:pPr>
  </w:style>
  <w:style w:type="character" w:customStyle="1" w:styleId="BodyTextIndentChar">
    <w:name w:val="Body Text Indent Char"/>
    <w:basedOn w:val="DefaultParagraphFont"/>
    <w:link w:val="BodyTextIndent"/>
    <w:semiHidden/>
    <w:rsid w:val="00EF6CD8"/>
    <w:rPr>
      <w:rFonts w:eastAsia="Times New Roman" w:cs="Times New Roman"/>
      <w:szCs w:val="20"/>
    </w:rPr>
  </w:style>
  <w:style w:type="character" w:styleId="Hyperlink">
    <w:name w:val="Hyperlink"/>
    <w:basedOn w:val="DefaultParagraphFont"/>
    <w:uiPriority w:val="99"/>
    <w:rsid w:val="00EF6CD8"/>
    <w:rPr>
      <w:color w:val="0000FF"/>
      <w:u w:val="single"/>
    </w:rPr>
  </w:style>
  <w:style w:type="paragraph" w:styleId="BlockText">
    <w:name w:val="Block Text"/>
    <w:basedOn w:val="Normal"/>
    <w:semiHidden/>
    <w:rsid w:val="00EF6CD8"/>
    <w:pPr>
      <w:widowControl w:val="0"/>
      <w:ind w:left="720" w:right="720"/>
      <w:jc w:val="center"/>
    </w:pPr>
    <w:rPr>
      <w:i/>
      <w:snapToGrid w:val="0"/>
    </w:rPr>
  </w:style>
  <w:style w:type="character" w:styleId="FollowedHyperlink">
    <w:name w:val="FollowedHyperlink"/>
    <w:basedOn w:val="DefaultParagraphFont"/>
    <w:rsid w:val="00EF6CD8"/>
    <w:rPr>
      <w:color w:val="800080"/>
      <w:u w:val="single"/>
    </w:rPr>
  </w:style>
  <w:style w:type="paragraph" w:styleId="Title">
    <w:name w:val="Title"/>
    <w:basedOn w:val="Heading1"/>
    <w:link w:val="TitleChar"/>
    <w:uiPriority w:val="10"/>
    <w:rsid w:val="00EF6CD8"/>
    <w:pPr>
      <w:ind w:left="2160"/>
      <w:jc w:val="left"/>
    </w:pPr>
    <w:rPr>
      <w:szCs w:val="40"/>
    </w:rPr>
  </w:style>
  <w:style w:type="character" w:customStyle="1" w:styleId="TitleChar">
    <w:name w:val="Title Char"/>
    <w:basedOn w:val="DefaultParagraphFont"/>
    <w:link w:val="Title"/>
    <w:uiPriority w:val="10"/>
    <w:rsid w:val="00EF6CD8"/>
    <w:rPr>
      <w:rFonts w:ascii="Franklin Gothic Demi" w:eastAsia="Times New Roman" w:hAnsi="Franklin Gothic Demi" w:cs="Times New Roman"/>
      <w:sz w:val="40"/>
      <w:szCs w:val="40"/>
    </w:rPr>
  </w:style>
  <w:style w:type="paragraph" w:customStyle="1" w:styleId="Style1">
    <w:name w:val="Style1"/>
    <w:basedOn w:val="Heading1"/>
    <w:semiHidden/>
    <w:rsid w:val="00EF6CD8"/>
    <w:rPr>
      <w:color w:val="0000FF"/>
    </w:rPr>
  </w:style>
  <w:style w:type="paragraph" w:customStyle="1" w:styleId="Style2">
    <w:name w:val="Style2"/>
    <w:basedOn w:val="Heading2"/>
    <w:semiHidden/>
    <w:rsid w:val="00EF6CD8"/>
    <w:rPr>
      <w:color w:val="800080"/>
    </w:rPr>
  </w:style>
  <w:style w:type="paragraph" w:customStyle="1" w:styleId="Style3">
    <w:name w:val="Style3"/>
    <w:basedOn w:val="Heading3"/>
    <w:semiHidden/>
    <w:rsid w:val="00EF6CD8"/>
    <w:rPr>
      <w:color w:val="0000FF"/>
    </w:rPr>
  </w:style>
  <w:style w:type="paragraph" w:customStyle="1" w:styleId="Style4">
    <w:name w:val="Style4"/>
    <w:basedOn w:val="Heading1"/>
    <w:semiHidden/>
    <w:rsid w:val="00EF6CD8"/>
  </w:style>
  <w:style w:type="paragraph" w:styleId="BodyText2">
    <w:name w:val="Body Text 2"/>
    <w:basedOn w:val="Normal"/>
    <w:link w:val="BodyText2Char"/>
    <w:semiHidden/>
    <w:rsid w:val="00EF6CD8"/>
    <w:pPr>
      <w:spacing w:line="480" w:lineRule="auto"/>
    </w:pPr>
  </w:style>
  <w:style w:type="character" w:customStyle="1" w:styleId="BodyText2Char">
    <w:name w:val="Body Text 2 Char"/>
    <w:basedOn w:val="DefaultParagraphFont"/>
    <w:link w:val="BodyText2"/>
    <w:semiHidden/>
    <w:rsid w:val="00EF6CD8"/>
    <w:rPr>
      <w:rFonts w:eastAsia="Times New Roman" w:cs="Times New Roman"/>
      <w:szCs w:val="20"/>
    </w:rPr>
  </w:style>
  <w:style w:type="paragraph" w:styleId="PlainText">
    <w:name w:val="Plain Text"/>
    <w:basedOn w:val="Normal"/>
    <w:link w:val="PlainTextChar"/>
    <w:rsid w:val="00EF6CD8"/>
    <w:rPr>
      <w:color w:val="0000FF"/>
      <w:szCs w:val="24"/>
    </w:rPr>
  </w:style>
  <w:style w:type="character" w:customStyle="1" w:styleId="PlainTextChar">
    <w:name w:val="Plain Text Char"/>
    <w:basedOn w:val="DefaultParagraphFont"/>
    <w:link w:val="PlainText"/>
    <w:rsid w:val="00EF6CD8"/>
    <w:rPr>
      <w:rFonts w:eastAsia="Times New Roman" w:cs="Times New Roman"/>
      <w:color w:val="0000FF"/>
      <w:szCs w:val="24"/>
    </w:rPr>
  </w:style>
  <w:style w:type="paragraph" w:styleId="BodyTextIndent3">
    <w:name w:val="Body Text Indent 3"/>
    <w:basedOn w:val="Normal"/>
    <w:link w:val="BodyTextIndent3Char"/>
    <w:rsid w:val="00EF6CD8"/>
    <w:pPr>
      <w:ind w:left="360"/>
    </w:pPr>
    <w:rPr>
      <w:sz w:val="16"/>
      <w:szCs w:val="16"/>
    </w:rPr>
  </w:style>
  <w:style w:type="character" w:customStyle="1" w:styleId="BodyTextIndent3Char">
    <w:name w:val="Body Text Indent 3 Char"/>
    <w:basedOn w:val="DefaultParagraphFont"/>
    <w:link w:val="BodyTextIndent3"/>
    <w:rsid w:val="00EF6CD8"/>
    <w:rPr>
      <w:rFonts w:eastAsia="Times New Roman" w:cs="Times New Roman"/>
      <w:sz w:val="16"/>
      <w:szCs w:val="16"/>
    </w:rPr>
  </w:style>
  <w:style w:type="character" w:styleId="CommentReference">
    <w:name w:val="annotation reference"/>
    <w:basedOn w:val="DefaultParagraphFont"/>
    <w:semiHidden/>
    <w:rsid w:val="00EF6CD8"/>
    <w:rPr>
      <w:sz w:val="16"/>
      <w:szCs w:val="16"/>
    </w:rPr>
  </w:style>
  <w:style w:type="paragraph" w:styleId="CommentText">
    <w:name w:val="annotation text"/>
    <w:basedOn w:val="Normal"/>
    <w:link w:val="CommentTextChar"/>
    <w:rsid w:val="00EF6CD8"/>
    <w:rPr>
      <w:sz w:val="20"/>
    </w:rPr>
  </w:style>
  <w:style w:type="character" w:customStyle="1" w:styleId="CommentTextChar">
    <w:name w:val="Comment Text Char"/>
    <w:basedOn w:val="DefaultParagraphFont"/>
    <w:link w:val="CommentText"/>
    <w:semiHidden/>
    <w:rsid w:val="00EF6CD8"/>
    <w:rPr>
      <w:rFonts w:eastAsia="Times New Roman" w:cs="Times New Roman"/>
      <w:sz w:val="20"/>
      <w:szCs w:val="20"/>
    </w:rPr>
  </w:style>
  <w:style w:type="paragraph" w:styleId="CommentSubject">
    <w:name w:val="annotation subject"/>
    <w:basedOn w:val="CommentText"/>
    <w:next w:val="CommentText"/>
    <w:link w:val="CommentSubjectChar"/>
    <w:semiHidden/>
    <w:rsid w:val="00EF6CD8"/>
    <w:rPr>
      <w:b/>
      <w:bCs/>
    </w:rPr>
  </w:style>
  <w:style w:type="character" w:customStyle="1" w:styleId="CommentSubjectChar">
    <w:name w:val="Comment Subject Char"/>
    <w:basedOn w:val="CommentTextChar"/>
    <w:link w:val="CommentSubject"/>
    <w:semiHidden/>
    <w:rsid w:val="00EF6CD8"/>
    <w:rPr>
      <w:rFonts w:eastAsia="Times New Roman" w:cs="Times New Roman"/>
      <w:b/>
      <w:bCs/>
      <w:sz w:val="20"/>
      <w:szCs w:val="20"/>
    </w:rPr>
  </w:style>
  <w:style w:type="paragraph" w:styleId="BalloonText">
    <w:name w:val="Balloon Text"/>
    <w:basedOn w:val="Normal"/>
    <w:link w:val="BalloonTextChar"/>
    <w:semiHidden/>
    <w:rsid w:val="00EF6CD8"/>
    <w:rPr>
      <w:rFonts w:ascii="Tahoma" w:hAnsi="Tahoma" w:cs="Tahoma"/>
      <w:sz w:val="16"/>
      <w:szCs w:val="16"/>
    </w:rPr>
  </w:style>
  <w:style w:type="character" w:customStyle="1" w:styleId="BalloonTextChar">
    <w:name w:val="Balloon Text Char"/>
    <w:basedOn w:val="DefaultParagraphFont"/>
    <w:link w:val="BalloonText"/>
    <w:semiHidden/>
    <w:rsid w:val="00EF6CD8"/>
    <w:rPr>
      <w:rFonts w:ascii="Tahoma" w:eastAsia="Times New Roman" w:hAnsi="Tahoma" w:cs="Tahoma"/>
      <w:sz w:val="16"/>
      <w:szCs w:val="16"/>
    </w:rPr>
  </w:style>
  <w:style w:type="paragraph" w:styleId="ListParagraph">
    <w:name w:val="List Paragraph"/>
    <w:basedOn w:val="Normal"/>
    <w:link w:val="ListParagraphChar"/>
    <w:uiPriority w:val="34"/>
    <w:qFormat/>
    <w:rsid w:val="00EF6CD8"/>
    <w:pPr>
      <w:spacing w:before="120" w:line="259" w:lineRule="auto"/>
    </w:pPr>
  </w:style>
  <w:style w:type="paragraph" w:customStyle="1" w:styleId="BulletedList">
    <w:name w:val="Bulleted List"/>
    <w:basedOn w:val="ListParagraph"/>
    <w:link w:val="BulletedListChar"/>
    <w:qFormat/>
    <w:rsid w:val="00E476A5"/>
    <w:pPr>
      <w:numPr>
        <w:numId w:val="1"/>
      </w:numPr>
      <w:ind w:left="720"/>
    </w:pPr>
    <w:rPr>
      <w:rFonts w:asciiTheme="minorHAnsi" w:hAnsiTheme="minorHAnsi"/>
    </w:rPr>
  </w:style>
  <w:style w:type="character" w:customStyle="1" w:styleId="ListParagraphChar">
    <w:name w:val="List Paragraph Char"/>
    <w:basedOn w:val="DefaultParagraphFont"/>
    <w:link w:val="ListParagraph"/>
    <w:uiPriority w:val="34"/>
    <w:rsid w:val="00EF6CD8"/>
    <w:rPr>
      <w:rFonts w:eastAsia="Times New Roman" w:cs="Times New Roman"/>
      <w:szCs w:val="20"/>
    </w:rPr>
  </w:style>
  <w:style w:type="character" w:customStyle="1" w:styleId="BulletedListChar">
    <w:name w:val="Bulleted List Char"/>
    <w:basedOn w:val="ListParagraphChar"/>
    <w:link w:val="BulletedList"/>
    <w:rsid w:val="00E476A5"/>
    <w:rPr>
      <w:rFonts w:asciiTheme="minorHAnsi" w:eastAsia="Times New Roman" w:hAnsiTheme="minorHAnsi" w:cs="Times New Roman"/>
      <w:szCs w:val="20"/>
    </w:rPr>
  </w:style>
  <w:style w:type="paragraph" w:styleId="Caption">
    <w:name w:val="caption"/>
    <w:next w:val="Normal"/>
    <w:link w:val="CaptionChar"/>
    <w:uiPriority w:val="35"/>
    <w:unhideWhenUsed/>
    <w:rsid w:val="00EF6CD8"/>
    <w:pPr>
      <w:spacing w:before="240" w:after="360" w:line="240" w:lineRule="auto"/>
    </w:pPr>
    <w:rPr>
      <w:rFonts w:ascii="Arial" w:eastAsia="Times New Roman" w:hAnsi="Arial" w:cs="Times New Roman"/>
      <w:b/>
      <w:bCs/>
      <w:sz w:val="20"/>
      <w:szCs w:val="18"/>
    </w:rPr>
  </w:style>
  <w:style w:type="paragraph" w:styleId="TableofFigures">
    <w:name w:val="table of figures"/>
    <w:basedOn w:val="Normal"/>
    <w:next w:val="Normal"/>
    <w:uiPriority w:val="99"/>
    <w:rsid w:val="00EF6CD8"/>
    <w:pPr>
      <w:tabs>
        <w:tab w:val="right" w:leader="dot" w:pos="9360"/>
      </w:tabs>
    </w:pPr>
  </w:style>
  <w:style w:type="paragraph" w:customStyle="1" w:styleId="TableParagraph">
    <w:name w:val="Table Paragraph"/>
    <w:basedOn w:val="Normal"/>
    <w:uiPriority w:val="1"/>
    <w:qFormat/>
    <w:rsid w:val="00EF6CD8"/>
    <w:pPr>
      <w:widowControl w:val="0"/>
    </w:pPr>
    <w:rPr>
      <w:rFonts w:ascii="Arial" w:hAnsi="Arial"/>
      <w:sz w:val="20"/>
      <w:szCs w:val="22"/>
    </w:rPr>
  </w:style>
  <w:style w:type="paragraph" w:customStyle="1" w:styleId="Default">
    <w:name w:val="Default"/>
    <w:rsid w:val="00EF6CD8"/>
    <w:pPr>
      <w:autoSpaceDE w:val="0"/>
      <w:autoSpaceDN w:val="0"/>
      <w:adjustRightInd w:val="0"/>
      <w:spacing w:after="0" w:line="240" w:lineRule="auto"/>
    </w:pPr>
    <w:rPr>
      <w:rFonts w:eastAsia="Times New Roman" w:cs="Times New Roman"/>
      <w:color w:val="000000"/>
      <w:szCs w:val="24"/>
    </w:rPr>
  </w:style>
  <w:style w:type="table" w:styleId="TableGrid">
    <w:name w:val="Table Grid"/>
    <w:basedOn w:val="TableNormal"/>
    <w:uiPriority w:val="39"/>
    <w:rsid w:val="00EF6CD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ppendices">
    <w:name w:val="Appendices"/>
    <w:uiPriority w:val="99"/>
    <w:rsid w:val="00EF6CD8"/>
    <w:pPr>
      <w:numPr>
        <w:numId w:val="2"/>
      </w:numPr>
    </w:pPr>
  </w:style>
  <w:style w:type="paragraph" w:styleId="Revision">
    <w:name w:val="Revision"/>
    <w:hidden/>
    <w:uiPriority w:val="99"/>
    <w:semiHidden/>
    <w:rsid w:val="00350C45"/>
    <w:pPr>
      <w:spacing w:after="0" w:line="240" w:lineRule="auto"/>
    </w:pPr>
    <w:rPr>
      <w:rFonts w:eastAsia="Times New Roman" w:cs="Times New Roman"/>
      <w:szCs w:val="20"/>
    </w:rPr>
  </w:style>
  <w:style w:type="character" w:styleId="Emphasis">
    <w:name w:val="Emphasis"/>
    <w:basedOn w:val="DefaultParagraphFont"/>
    <w:rsid w:val="00EF6CD8"/>
    <w:rPr>
      <w:i/>
      <w:iCs/>
    </w:rPr>
  </w:style>
  <w:style w:type="character" w:styleId="SubtleEmphasis">
    <w:name w:val="Subtle Emphasis"/>
    <w:uiPriority w:val="19"/>
    <w:rsid w:val="00EF6CD8"/>
    <w:rPr>
      <w:rFonts w:ascii="Book Antiqua" w:hAnsi="Book Antiqua"/>
      <w:i/>
      <w:sz w:val="36"/>
    </w:rPr>
  </w:style>
  <w:style w:type="paragraph" w:styleId="NoSpacing">
    <w:name w:val="No Spacing"/>
    <w:link w:val="NoSpacingChar"/>
    <w:uiPriority w:val="1"/>
    <w:rsid w:val="00EF6CD8"/>
    <w:pPr>
      <w:spacing w:after="0" w:line="240" w:lineRule="auto"/>
    </w:pPr>
    <w:rPr>
      <w:rFonts w:eastAsia="Times New Roman" w:cs="Times New Roman"/>
      <w:sz w:val="22"/>
    </w:rPr>
  </w:style>
  <w:style w:type="character" w:customStyle="1" w:styleId="NoSpacingChar">
    <w:name w:val="No Spacing Char"/>
    <w:basedOn w:val="DefaultParagraphFont"/>
    <w:link w:val="NoSpacing"/>
    <w:uiPriority w:val="1"/>
    <w:rsid w:val="00EF6CD8"/>
    <w:rPr>
      <w:rFonts w:eastAsia="Times New Roman" w:cs="Times New Roman"/>
      <w:sz w:val="22"/>
    </w:rPr>
  </w:style>
  <w:style w:type="table" w:styleId="GridTable2-Accent3">
    <w:name w:val="Grid Table 2 Accent 3"/>
    <w:basedOn w:val="TableNormal"/>
    <w:uiPriority w:val="47"/>
    <w:rsid w:val="00EF6CD8"/>
    <w:pPr>
      <w:spacing w:after="0" w:line="240" w:lineRule="auto"/>
    </w:pPr>
    <w:rPr>
      <w:rFonts w:eastAsia="Times New Roman" w:cs="Times New Roman"/>
      <w:sz w:val="20"/>
      <w:szCs w:val="20"/>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EF6CD8"/>
    <w:pPr>
      <w:spacing w:after="0" w:line="240" w:lineRule="auto"/>
    </w:pPr>
    <w:rPr>
      <w:rFonts w:eastAsia="Times New Roman" w:cs="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ibliography">
    <w:name w:val="Bibliography"/>
    <w:basedOn w:val="Normal"/>
    <w:next w:val="Normal"/>
    <w:uiPriority w:val="37"/>
    <w:semiHidden/>
    <w:unhideWhenUsed/>
    <w:rsid w:val="00EF6CD8"/>
  </w:style>
  <w:style w:type="paragraph" w:styleId="BodyText3">
    <w:name w:val="Body Text 3"/>
    <w:basedOn w:val="Normal"/>
    <w:link w:val="BodyText3Char"/>
    <w:semiHidden/>
    <w:unhideWhenUsed/>
    <w:rsid w:val="00EF6CD8"/>
    <w:rPr>
      <w:sz w:val="16"/>
      <w:szCs w:val="16"/>
    </w:rPr>
  </w:style>
  <w:style w:type="character" w:customStyle="1" w:styleId="BodyText3Char">
    <w:name w:val="Body Text 3 Char"/>
    <w:basedOn w:val="DefaultParagraphFont"/>
    <w:link w:val="BodyText3"/>
    <w:semiHidden/>
    <w:rsid w:val="00EF6CD8"/>
    <w:rPr>
      <w:rFonts w:eastAsia="Times New Roman" w:cs="Times New Roman"/>
      <w:sz w:val="16"/>
      <w:szCs w:val="16"/>
    </w:rPr>
  </w:style>
  <w:style w:type="paragraph" w:styleId="BodyTextFirstIndent">
    <w:name w:val="Body Text First Indent"/>
    <w:basedOn w:val="BodyText"/>
    <w:link w:val="BodyTextFirstIndentChar"/>
    <w:rsid w:val="00EF6CD8"/>
    <w:pPr>
      <w:tabs>
        <w:tab w:val="clear" w:pos="-1440"/>
        <w:tab w:val="clear" w:pos="-720"/>
        <w:tab w:val="clear" w:pos="-360"/>
        <w:tab w:val="clear" w:pos="360"/>
        <w:tab w:val="clear" w:pos="1440"/>
      </w:tabs>
      <w:suppressAutoHyphens w:val="0"/>
      <w:ind w:right="0" w:firstLine="360"/>
    </w:pPr>
  </w:style>
  <w:style w:type="character" w:customStyle="1" w:styleId="BodyTextFirstIndentChar">
    <w:name w:val="Body Text First Indent Char"/>
    <w:basedOn w:val="BodyTextChar"/>
    <w:link w:val="BodyTextFirstIndent"/>
    <w:rsid w:val="00EF6CD8"/>
    <w:rPr>
      <w:rFonts w:eastAsia="Times New Roman" w:cs="Times New Roman"/>
      <w:szCs w:val="20"/>
    </w:rPr>
  </w:style>
  <w:style w:type="paragraph" w:styleId="BodyTextFirstIndent2">
    <w:name w:val="Body Text First Indent 2"/>
    <w:basedOn w:val="BodyTextIndent"/>
    <w:link w:val="BodyTextFirstIndent2Char"/>
    <w:semiHidden/>
    <w:unhideWhenUsed/>
    <w:rsid w:val="00EF6CD8"/>
    <w:pPr>
      <w:tabs>
        <w:tab w:val="clear" w:pos="4860"/>
      </w:tabs>
      <w:suppressAutoHyphens w:val="0"/>
      <w:ind w:firstLine="360"/>
    </w:pPr>
  </w:style>
  <w:style w:type="character" w:customStyle="1" w:styleId="BodyTextFirstIndent2Char">
    <w:name w:val="Body Text First Indent 2 Char"/>
    <w:basedOn w:val="BodyTextIndentChar"/>
    <w:link w:val="BodyTextFirstIndent2"/>
    <w:semiHidden/>
    <w:rsid w:val="00EF6CD8"/>
    <w:rPr>
      <w:rFonts w:eastAsia="Times New Roman" w:cs="Times New Roman"/>
      <w:szCs w:val="20"/>
    </w:rPr>
  </w:style>
  <w:style w:type="paragraph" w:styleId="BodyTextIndent2">
    <w:name w:val="Body Text Indent 2"/>
    <w:basedOn w:val="Normal"/>
    <w:link w:val="BodyTextIndent2Char"/>
    <w:semiHidden/>
    <w:unhideWhenUsed/>
    <w:rsid w:val="00EF6CD8"/>
    <w:pPr>
      <w:spacing w:line="480" w:lineRule="auto"/>
      <w:ind w:left="360"/>
    </w:pPr>
  </w:style>
  <w:style w:type="character" w:customStyle="1" w:styleId="BodyTextIndent2Char">
    <w:name w:val="Body Text Indent 2 Char"/>
    <w:basedOn w:val="DefaultParagraphFont"/>
    <w:link w:val="BodyTextIndent2"/>
    <w:semiHidden/>
    <w:rsid w:val="00EF6CD8"/>
    <w:rPr>
      <w:rFonts w:eastAsia="Times New Roman" w:cs="Times New Roman"/>
      <w:szCs w:val="20"/>
    </w:rPr>
  </w:style>
  <w:style w:type="paragraph" w:styleId="Closing">
    <w:name w:val="Closing"/>
    <w:basedOn w:val="Normal"/>
    <w:link w:val="ClosingChar"/>
    <w:semiHidden/>
    <w:unhideWhenUsed/>
    <w:rsid w:val="00EF6CD8"/>
    <w:pPr>
      <w:spacing w:after="0"/>
      <w:ind w:left="4320"/>
    </w:pPr>
  </w:style>
  <w:style w:type="character" w:customStyle="1" w:styleId="ClosingChar">
    <w:name w:val="Closing Char"/>
    <w:basedOn w:val="DefaultParagraphFont"/>
    <w:link w:val="Closing"/>
    <w:semiHidden/>
    <w:rsid w:val="00EF6CD8"/>
    <w:rPr>
      <w:rFonts w:eastAsia="Times New Roman" w:cs="Times New Roman"/>
      <w:szCs w:val="20"/>
    </w:rPr>
  </w:style>
  <w:style w:type="paragraph" w:styleId="Date">
    <w:name w:val="Date"/>
    <w:basedOn w:val="Normal"/>
    <w:next w:val="Normal"/>
    <w:link w:val="DateChar"/>
    <w:rsid w:val="00EF6CD8"/>
  </w:style>
  <w:style w:type="character" w:customStyle="1" w:styleId="DateChar">
    <w:name w:val="Date Char"/>
    <w:basedOn w:val="DefaultParagraphFont"/>
    <w:link w:val="Date"/>
    <w:rsid w:val="00EF6CD8"/>
    <w:rPr>
      <w:rFonts w:eastAsia="Times New Roman" w:cs="Times New Roman"/>
      <w:szCs w:val="20"/>
    </w:rPr>
  </w:style>
  <w:style w:type="paragraph" w:styleId="DocumentMap">
    <w:name w:val="Document Map"/>
    <w:basedOn w:val="Normal"/>
    <w:link w:val="DocumentMapChar"/>
    <w:semiHidden/>
    <w:unhideWhenUsed/>
    <w:rsid w:val="00EF6CD8"/>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EF6CD8"/>
    <w:rPr>
      <w:rFonts w:ascii="Segoe UI" w:eastAsia="Times New Roman" w:hAnsi="Segoe UI" w:cs="Segoe UI"/>
      <w:sz w:val="16"/>
      <w:szCs w:val="16"/>
    </w:rPr>
  </w:style>
  <w:style w:type="paragraph" w:styleId="E-mailSignature">
    <w:name w:val="E-mail Signature"/>
    <w:basedOn w:val="Normal"/>
    <w:link w:val="E-mailSignatureChar"/>
    <w:semiHidden/>
    <w:unhideWhenUsed/>
    <w:rsid w:val="00EF6CD8"/>
    <w:pPr>
      <w:spacing w:after="0"/>
    </w:pPr>
  </w:style>
  <w:style w:type="character" w:customStyle="1" w:styleId="E-mailSignatureChar">
    <w:name w:val="E-mail Signature Char"/>
    <w:basedOn w:val="DefaultParagraphFont"/>
    <w:link w:val="E-mailSignature"/>
    <w:semiHidden/>
    <w:rsid w:val="00EF6CD8"/>
    <w:rPr>
      <w:rFonts w:eastAsia="Times New Roman" w:cs="Times New Roman"/>
      <w:szCs w:val="20"/>
    </w:rPr>
  </w:style>
  <w:style w:type="paragraph" w:styleId="EnvelopeAddress">
    <w:name w:val="envelope address"/>
    <w:basedOn w:val="Normal"/>
    <w:semiHidden/>
    <w:unhideWhenUsed/>
    <w:rsid w:val="00EF6CD8"/>
    <w:pPr>
      <w:framePr w:w="7920" w:h="1980" w:hRule="exact" w:hSpace="180" w:wrap="auto" w:hAnchor="page" w:xAlign="center" w:yAlign="bottom"/>
      <w:spacing w:after="0"/>
      <w:ind w:left="2880"/>
    </w:pPr>
    <w:rPr>
      <w:szCs w:val="24"/>
    </w:rPr>
  </w:style>
  <w:style w:type="paragraph" w:styleId="EnvelopeReturn">
    <w:name w:val="envelope return"/>
    <w:basedOn w:val="Normal"/>
    <w:semiHidden/>
    <w:unhideWhenUsed/>
    <w:rsid w:val="00EF6CD8"/>
    <w:pPr>
      <w:spacing w:after="0"/>
    </w:pPr>
    <w:rPr>
      <w:sz w:val="20"/>
    </w:rPr>
  </w:style>
  <w:style w:type="paragraph" w:styleId="FootnoteText">
    <w:name w:val="footnote text"/>
    <w:basedOn w:val="Normal"/>
    <w:link w:val="FootnoteTextChar"/>
    <w:unhideWhenUsed/>
    <w:rsid w:val="00EF6CD8"/>
    <w:pPr>
      <w:spacing w:after="0"/>
    </w:pPr>
    <w:rPr>
      <w:sz w:val="20"/>
    </w:rPr>
  </w:style>
  <w:style w:type="character" w:customStyle="1" w:styleId="FootnoteTextChar">
    <w:name w:val="Footnote Text Char"/>
    <w:basedOn w:val="DefaultParagraphFont"/>
    <w:link w:val="FootnoteText"/>
    <w:rsid w:val="00EF6CD8"/>
    <w:rPr>
      <w:rFonts w:eastAsia="Times New Roman" w:cs="Times New Roman"/>
      <w:sz w:val="20"/>
      <w:szCs w:val="20"/>
    </w:rPr>
  </w:style>
  <w:style w:type="paragraph" w:styleId="HTMLAddress">
    <w:name w:val="HTML Address"/>
    <w:basedOn w:val="Normal"/>
    <w:link w:val="HTMLAddressChar"/>
    <w:semiHidden/>
    <w:unhideWhenUsed/>
    <w:rsid w:val="00EF6CD8"/>
    <w:pPr>
      <w:spacing w:after="0"/>
    </w:pPr>
    <w:rPr>
      <w:i/>
      <w:iCs/>
    </w:rPr>
  </w:style>
  <w:style w:type="character" w:customStyle="1" w:styleId="HTMLAddressChar">
    <w:name w:val="HTML Address Char"/>
    <w:basedOn w:val="DefaultParagraphFont"/>
    <w:link w:val="HTMLAddress"/>
    <w:semiHidden/>
    <w:rsid w:val="00EF6CD8"/>
    <w:rPr>
      <w:rFonts w:eastAsia="Times New Roman" w:cs="Times New Roman"/>
      <w:i/>
      <w:iCs/>
      <w:szCs w:val="20"/>
    </w:rPr>
  </w:style>
  <w:style w:type="paragraph" w:styleId="HTMLPreformatted">
    <w:name w:val="HTML Preformatted"/>
    <w:basedOn w:val="Normal"/>
    <w:link w:val="HTMLPreformattedChar"/>
    <w:semiHidden/>
    <w:unhideWhenUsed/>
    <w:rsid w:val="00EF6CD8"/>
    <w:pPr>
      <w:spacing w:after="0"/>
    </w:pPr>
    <w:rPr>
      <w:rFonts w:ascii="Consolas" w:hAnsi="Consolas" w:cs="Consolas"/>
      <w:sz w:val="20"/>
    </w:rPr>
  </w:style>
  <w:style w:type="character" w:customStyle="1" w:styleId="HTMLPreformattedChar">
    <w:name w:val="HTML Preformatted Char"/>
    <w:basedOn w:val="DefaultParagraphFont"/>
    <w:link w:val="HTMLPreformatted"/>
    <w:semiHidden/>
    <w:rsid w:val="00EF6CD8"/>
    <w:rPr>
      <w:rFonts w:ascii="Consolas" w:eastAsia="Times New Roman" w:hAnsi="Consolas" w:cs="Consolas"/>
      <w:sz w:val="20"/>
      <w:szCs w:val="20"/>
    </w:rPr>
  </w:style>
  <w:style w:type="paragraph" w:styleId="Index1">
    <w:name w:val="index 1"/>
    <w:basedOn w:val="Normal"/>
    <w:next w:val="Normal"/>
    <w:autoRedefine/>
    <w:semiHidden/>
    <w:unhideWhenUsed/>
    <w:rsid w:val="00EF6CD8"/>
    <w:pPr>
      <w:spacing w:after="0"/>
      <w:ind w:left="240" w:hanging="240"/>
    </w:pPr>
  </w:style>
  <w:style w:type="paragraph" w:styleId="Index2">
    <w:name w:val="index 2"/>
    <w:basedOn w:val="Normal"/>
    <w:next w:val="Normal"/>
    <w:autoRedefine/>
    <w:semiHidden/>
    <w:unhideWhenUsed/>
    <w:rsid w:val="00EF6CD8"/>
    <w:pPr>
      <w:spacing w:after="0"/>
      <w:ind w:left="480" w:hanging="240"/>
    </w:pPr>
  </w:style>
  <w:style w:type="paragraph" w:styleId="Index3">
    <w:name w:val="index 3"/>
    <w:basedOn w:val="Normal"/>
    <w:next w:val="Normal"/>
    <w:autoRedefine/>
    <w:semiHidden/>
    <w:unhideWhenUsed/>
    <w:rsid w:val="00EF6CD8"/>
    <w:pPr>
      <w:spacing w:after="0"/>
      <w:ind w:left="720" w:hanging="240"/>
    </w:pPr>
  </w:style>
  <w:style w:type="paragraph" w:styleId="Index4">
    <w:name w:val="index 4"/>
    <w:basedOn w:val="Normal"/>
    <w:next w:val="Normal"/>
    <w:autoRedefine/>
    <w:semiHidden/>
    <w:unhideWhenUsed/>
    <w:rsid w:val="00EF6CD8"/>
    <w:pPr>
      <w:spacing w:after="0"/>
      <w:ind w:left="960" w:hanging="240"/>
    </w:pPr>
  </w:style>
  <w:style w:type="paragraph" w:styleId="Index5">
    <w:name w:val="index 5"/>
    <w:basedOn w:val="Normal"/>
    <w:next w:val="Normal"/>
    <w:autoRedefine/>
    <w:semiHidden/>
    <w:unhideWhenUsed/>
    <w:rsid w:val="00EF6CD8"/>
    <w:pPr>
      <w:spacing w:after="0"/>
      <w:ind w:left="1200" w:hanging="240"/>
    </w:pPr>
  </w:style>
  <w:style w:type="paragraph" w:styleId="Index6">
    <w:name w:val="index 6"/>
    <w:basedOn w:val="Normal"/>
    <w:next w:val="Normal"/>
    <w:autoRedefine/>
    <w:semiHidden/>
    <w:unhideWhenUsed/>
    <w:rsid w:val="00EF6CD8"/>
    <w:pPr>
      <w:spacing w:after="0"/>
      <w:ind w:left="1440" w:hanging="240"/>
    </w:pPr>
  </w:style>
  <w:style w:type="paragraph" w:styleId="Index7">
    <w:name w:val="index 7"/>
    <w:basedOn w:val="Normal"/>
    <w:next w:val="Normal"/>
    <w:autoRedefine/>
    <w:semiHidden/>
    <w:unhideWhenUsed/>
    <w:rsid w:val="00EF6CD8"/>
    <w:pPr>
      <w:spacing w:after="0"/>
      <w:ind w:left="1680" w:hanging="240"/>
    </w:pPr>
  </w:style>
  <w:style w:type="paragraph" w:styleId="Index8">
    <w:name w:val="index 8"/>
    <w:basedOn w:val="Normal"/>
    <w:next w:val="Normal"/>
    <w:autoRedefine/>
    <w:semiHidden/>
    <w:unhideWhenUsed/>
    <w:rsid w:val="00EF6CD8"/>
    <w:pPr>
      <w:spacing w:after="0"/>
      <w:ind w:left="1920" w:hanging="240"/>
    </w:pPr>
  </w:style>
  <w:style w:type="paragraph" w:styleId="Index9">
    <w:name w:val="index 9"/>
    <w:basedOn w:val="Normal"/>
    <w:next w:val="Normal"/>
    <w:autoRedefine/>
    <w:semiHidden/>
    <w:unhideWhenUsed/>
    <w:rsid w:val="00EF6CD8"/>
    <w:pPr>
      <w:spacing w:after="0"/>
      <w:ind w:left="2160" w:hanging="240"/>
    </w:pPr>
  </w:style>
  <w:style w:type="paragraph" w:styleId="IndexHeading">
    <w:name w:val="index heading"/>
    <w:basedOn w:val="Normal"/>
    <w:next w:val="Index1"/>
    <w:semiHidden/>
    <w:unhideWhenUsed/>
    <w:rsid w:val="00EF6CD8"/>
    <w:rPr>
      <w:b/>
      <w:bCs/>
    </w:rPr>
  </w:style>
  <w:style w:type="paragraph" w:styleId="IntenseQuote">
    <w:name w:val="Intense Quote"/>
    <w:basedOn w:val="Normal"/>
    <w:next w:val="Normal"/>
    <w:link w:val="IntenseQuoteChar"/>
    <w:uiPriority w:val="30"/>
    <w:rsid w:val="00EF6CD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F6CD8"/>
    <w:rPr>
      <w:rFonts w:eastAsia="Times New Roman" w:cs="Times New Roman"/>
      <w:i/>
      <w:iCs/>
      <w:color w:val="5B9BD5" w:themeColor="accent1"/>
      <w:szCs w:val="20"/>
    </w:rPr>
  </w:style>
  <w:style w:type="paragraph" w:styleId="List">
    <w:name w:val="List"/>
    <w:basedOn w:val="Normal"/>
    <w:semiHidden/>
    <w:unhideWhenUsed/>
    <w:rsid w:val="00EF6CD8"/>
    <w:pPr>
      <w:ind w:left="360" w:hanging="360"/>
      <w:contextualSpacing/>
    </w:pPr>
  </w:style>
  <w:style w:type="paragraph" w:styleId="List2">
    <w:name w:val="List 2"/>
    <w:basedOn w:val="Normal"/>
    <w:semiHidden/>
    <w:unhideWhenUsed/>
    <w:rsid w:val="00EF6CD8"/>
    <w:pPr>
      <w:ind w:left="720" w:hanging="360"/>
      <w:contextualSpacing/>
    </w:pPr>
  </w:style>
  <w:style w:type="paragraph" w:styleId="List3">
    <w:name w:val="List 3"/>
    <w:basedOn w:val="Normal"/>
    <w:semiHidden/>
    <w:unhideWhenUsed/>
    <w:rsid w:val="00EF6CD8"/>
    <w:pPr>
      <w:ind w:left="1080" w:hanging="360"/>
      <w:contextualSpacing/>
    </w:pPr>
  </w:style>
  <w:style w:type="paragraph" w:styleId="List4">
    <w:name w:val="List 4"/>
    <w:basedOn w:val="Normal"/>
    <w:rsid w:val="00EF6CD8"/>
    <w:pPr>
      <w:ind w:left="1440" w:hanging="360"/>
      <w:contextualSpacing/>
    </w:pPr>
  </w:style>
  <w:style w:type="paragraph" w:styleId="List5">
    <w:name w:val="List 5"/>
    <w:basedOn w:val="Normal"/>
    <w:rsid w:val="00EF6CD8"/>
    <w:pPr>
      <w:ind w:left="1800" w:hanging="360"/>
      <w:contextualSpacing/>
    </w:pPr>
  </w:style>
  <w:style w:type="paragraph" w:styleId="ListBullet">
    <w:name w:val="List Bullet"/>
    <w:basedOn w:val="Normal"/>
    <w:semiHidden/>
    <w:unhideWhenUsed/>
    <w:rsid w:val="00EF6CD8"/>
    <w:pPr>
      <w:numPr>
        <w:numId w:val="6"/>
      </w:numPr>
      <w:contextualSpacing/>
    </w:pPr>
  </w:style>
  <w:style w:type="paragraph" w:styleId="ListBullet2">
    <w:name w:val="List Bullet 2"/>
    <w:basedOn w:val="Normal"/>
    <w:semiHidden/>
    <w:unhideWhenUsed/>
    <w:rsid w:val="00EF6CD8"/>
    <w:pPr>
      <w:numPr>
        <w:numId w:val="7"/>
      </w:numPr>
      <w:contextualSpacing/>
    </w:pPr>
  </w:style>
  <w:style w:type="paragraph" w:styleId="ListBullet3">
    <w:name w:val="List Bullet 3"/>
    <w:basedOn w:val="Normal"/>
    <w:semiHidden/>
    <w:unhideWhenUsed/>
    <w:rsid w:val="00EF6CD8"/>
    <w:pPr>
      <w:numPr>
        <w:numId w:val="8"/>
      </w:numPr>
      <w:contextualSpacing/>
    </w:pPr>
  </w:style>
  <w:style w:type="paragraph" w:styleId="ListBullet4">
    <w:name w:val="List Bullet 4"/>
    <w:basedOn w:val="Normal"/>
    <w:semiHidden/>
    <w:unhideWhenUsed/>
    <w:rsid w:val="00EF6CD8"/>
    <w:pPr>
      <w:numPr>
        <w:numId w:val="9"/>
      </w:numPr>
      <w:contextualSpacing/>
    </w:pPr>
  </w:style>
  <w:style w:type="paragraph" w:styleId="ListBullet5">
    <w:name w:val="List Bullet 5"/>
    <w:basedOn w:val="Normal"/>
    <w:semiHidden/>
    <w:unhideWhenUsed/>
    <w:rsid w:val="00EF6CD8"/>
    <w:pPr>
      <w:numPr>
        <w:numId w:val="10"/>
      </w:numPr>
      <w:contextualSpacing/>
    </w:pPr>
  </w:style>
  <w:style w:type="paragraph" w:styleId="ListContinue">
    <w:name w:val="List Continue"/>
    <w:basedOn w:val="Normal"/>
    <w:semiHidden/>
    <w:unhideWhenUsed/>
    <w:rsid w:val="00EF6CD8"/>
    <w:pPr>
      <w:ind w:left="360"/>
      <w:contextualSpacing/>
    </w:pPr>
  </w:style>
  <w:style w:type="paragraph" w:styleId="ListContinue2">
    <w:name w:val="List Continue 2"/>
    <w:basedOn w:val="Normal"/>
    <w:semiHidden/>
    <w:unhideWhenUsed/>
    <w:rsid w:val="00EF6CD8"/>
    <w:pPr>
      <w:ind w:left="720"/>
      <w:contextualSpacing/>
    </w:pPr>
  </w:style>
  <w:style w:type="paragraph" w:styleId="ListContinue3">
    <w:name w:val="List Continue 3"/>
    <w:basedOn w:val="Normal"/>
    <w:semiHidden/>
    <w:unhideWhenUsed/>
    <w:rsid w:val="00EF6CD8"/>
    <w:pPr>
      <w:ind w:left="1080"/>
      <w:contextualSpacing/>
    </w:pPr>
  </w:style>
  <w:style w:type="paragraph" w:styleId="ListContinue4">
    <w:name w:val="List Continue 4"/>
    <w:basedOn w:val="Normal"/>
    <w:semiHidden/>
    <w:unhideWhenUsed/>
    <w:rsid w:val="00EF6CD8"/>
    <w:pPr>
      <w:ind w:left="1440"/>
      <w:contextualSpacing/>
    </w:pPr>
  </w:style>
  <w:style w:type="paragraph" w:styleId="ListContinue5">
    <w:name w:val="List Continue 5"/>
    <w:basedOn w:val="Normal"/>
    <w:semiHidden/>
    <w:unhideWhenUsed/>
    <w:rsid w:val="00EF6CD8"/>
    <w:pPr>
      <w:ind w:left="1800"/>
      <w:contextualSpacing/>
    </w:pPr>
  </w:style>
  <w:style w:type="paragraph" w:styleId="ListNumber">
    <w:name w:val="List Number"/>
    <w:basedOn w:val="Normal"/>
    <w:rsid w:val="00EF6CD8"/>
    <w:pPr>
      <w:numPr>
        <w:numId w:val="11"/>
      </w:numPr>
      <w:contextualSpacing/>
    </w:pPr>
  </w:style>
  <w:style w:type="paragraph" w:styleId="ListNumber2">
    <w:name w:val="List Number 2"/>
    <w:basedOn w:val="Normal"/>
    <w:semiHidden/>
    <w:unhideWhenUsed/>
    <w:rsid w:val="00EF6CD8"/>
    <w:pPr>
      <w:numPr>
        <w:numId w:val="12"/>
      </w:numPr>
      <w:contextualSpacing/>
    </w:pPr>
  </w:style>
  <w:style w:type="paragraph" w:styleId="ListNumber3">
    <w:name w:val="List Number 3"/>
    <w:basedOn w:val="Normal"/>
    <w:semiHidden/>
    <w:unhideWhenUsed/>
    <w:rsid w:val="00EF6CD8"/>
    <w:pPr>
      <w:numPr>
        <w:numId w:val="13"/>
      </w:numPr>
      <w:contextualSpacing/>
    </w:pPr>
  </w:style>
  <w:style w:type="paragraph" w:styleId="ListNumber4">
    <w:name w:val="List Number 4"/>
    <w:basedOn w:val="Normal"/>
    <w:semiHidden/>
    <w:unhideWhenUsed/>
    <w:rsid w:val="00EF6CD8"/>
    <w:pPr>
      <w:numPr>
        <w:numId w:val="14"/>
      </w:numPr>
      <w:contextualSpacing/>
    </w:pPr>
  </w:style>
  <w:style w:type="paragraph" w:styleId="ListNumber5">
    <w:name w:val="List Number 5"/>
    <w:basedOn w:val="Normal"/>
    <w:semiHidden/>
    <w:unhideWhenUsed/>
    <w:rsid w:val="00EF6CD8"/>
    <w:pPr>
      <w:numPr>
        <w:numId w:val="15"/>
      </w:numPr>
      <w:contextualSpacing/>
    </w:pPr>
  </w:style>
  <w:style w:type="paragraph" w:styleId="MacroText">
    <w:name w:val="macro"/>
    <w:link w:val="MacroTextChar"/>
    <w:semiHidden/>
    <w:unhideWhenUsed/>
    <w:rsid w:val="00EF6CD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semiHidden/>
    <w:rsid w:val="00EF6CD8"/>
    <w:rPr>
      <w:rFonts w:ascii="Consolas" w:eastAsia="Times New Roman" w:hAnsi="Consolas" w:cs="Consolas"/>
      <w:sz w:val="20"/>
      <w:szCs w:val="20"/>
    </w:rPr>
  </w:style>
  <w:style w:type="paragraph" w:styleId="MessageHeader">
    <w:name w:val="Message Header"/>
    <w:basedOn w:val="Normal"/>
    <w:link w:val="MessageHeaderChar"/>
    <w:semiHidden/>
    <w:unhideWhenUsed/>
    <w:rsid w:val="00EF6CD8"/>
    <w:pPr>
      <w:pBdr>
        <w:top w:val="single" w:sz="6" w:space="1" w:color="auto"/>
        <w:left w:val="single" w:sz="6" w:space="1" w:color="auto"/>
        <w:bottom w:val="single" w:sz="6" w:space="1" w:color="auto"/>
        <w:right w:val="single" w:sz="6" w:space="1" w:color="auto"/>
      </w:pBdr>
      <w:shd w:val="pct20" w:color="auto" w:fill="auto"/>
      <w:spacing w:after="0"/>
      <w:ind w:left="1080" w:hanging="1080"/>
    </w:pPr>
    <w:rPr>
      <w:szCs w:val="24"/>
    </w:rPr>
  </w:style>
  <w:style w:type="character" w:customStyle="1" w:styleId="MessageHeaderChar">
    <w:name w:val="Message Header Char"/>
    <w:basedOn w:val="DefaultParagraphFont"/>
    <w:link w:val="MessageHeader"/>
    <w:semiHidden/>
    <w:rsid w:val="00EF6CD8"/>
    <w:rPr>
      <w:rFonts w:eastAsia="Times New Roman" w:cs="Times New Roman"/>
      <w:szCs w:val="24"/>
      <w:shd w:val="pct20" w:color="auto" w:fill="auto"/>
    </w:rPr>
  </w:style>
  <w:style w:type="paragraph" w:styleId="NormalWeb">
    <w:name w:val="Normal (Web)"/>
    <w:basedOn w:val="Normal"/>
    <w:semiHidden/>
    <w:unhideWhenUsed/>
    <w:rsid w:val="00EF6CD8"/>
    <w:rPr>
      <w:szCs w:val="24"/>
    </w:rPr>
  </w:style>
  <w:style w:type="paragraph" w:styleId="NormalIndent">
    <w:name w:val="Normal Indent"/>
    <w:basedOn w:val="Normal"/>
    <w:semiHidden/>
    <w:unhideWhenUsed/>
    <w:rsid w:val="00EF6CD8"/>
    <w:pPr>
      <w:ind w:left="720"/>
    </w:pPr>
  </w:style>
  <w:style w:type="paragraph" w:styleId="NoteHeading">
    <w:name w:val="Note Heading"/>
    <w:basedOn w:val="Normal"/>
    <w:next w:val="Normal"/>
    <w:link w:val="NoteHeadingChar"/>
    <w:semiHidden/>
    <w:unhideWhenUsed/>
    <w:rsid w:val="00EF6CD8"/>
    <w:pPr>
      <w:spacing w:after="0"/>
    </w:pPr>
  </w:style>
  <w:style w:type="character" w:customStyle="1" w:styleId="NoteHeadingChar">
    <w:name w:val="Note Heading Char"/>
    <w:basedOn w:val="DefaultParagraphFont"/>
    <w:link w:val="NoteHeading"/>
    <w:semiHidden/>
    <w:rsid w:val="00EF6CD8"/>
    <w:rPr>
      <w:rFonts w:eastAsia="Times New Roman" w:cs="Times New Roman"/>
      <w:szCs w:val="20"/>
    </w:rPr>
  </w:style>
  <w:style w:type="paragraph" w:styleId="Quote">
    <w:name w:val="Quote"/>
    <w:basedOn w:val="Normal"/>
    <w:next w:val="Normal"/>
    <w:link w:val="QuoteChar"/>
    <w:uiPriority w:val="29"/>
    <w:rsid w:val="00EF6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6CD8"/>
    <w:rPr>
      <w:rFonts w:eastAsia="Times New Roman" w:cs="Times New Roman"/>
      <w:i/>
      <w:iCs/>
      <w:color w:val="404040" w:themeColor="text1" w:themeTint="BF"/>
      <w:szCs w:val="20"/>
    </w:rPr>
  </w:style>
  <w:style w:type="paragraph" w:styleId="Salutation">
    <w:name w:val="Salutation"/>
    <w:basedOn w:val="Normal"/>
    <w:next w:val="Normal"/>
    <w:link w:val="SalutationChar"/>
    <w:rsid w:val="00EF6CD8"/>
  </w:style>
  <w:style w:type="character" w:customStyle="1" w:styleId="SalutationChar">
    <w:name w:val="Salutation Char"/>
    <w:basedOn w:val="DefaultParagraphFont"/>
    <w:link w:val="Salutation"/>
    <w:rsid w:val="00EF6CD8"/>
    <w:rPr>
      <w:rFonts w:eastAsia="Times New Roman" w:cs="Times New Roman"/>
      <w:szCs w:val="20"/>
    </w:rPr>
  </w:style>
  <w:style w:type="paragraph" w:styleId="Signature">
    <w:name w:val="Signature"/>
    <w:basedOn w:val="Normal"/>
    <w:link w:val="SignatureChar"/>
    <w:semiHidden/>
    <w:unhideWhenUsed/>
    <w:rsid w:val="00EF6CD8"/>
    <w:pPr>
      <w:spacing w:after="0"/>
      <w:ind w:left="4320"/>
    </w:pPr>
  </w:style>
  <w:style w:type="character" w:customStyle="1" w:styleId="SignatureChar">
    <w:name w:val="Signature Char"/>
    <w:basedOn w:val="DefaultParagraphFont"/>
    <w:link w:val="Signature"/>
    <w:semiHidden/>
    <w:rsid w:val="00EF6CD8"/>
    <w:rPr>
      <w:rFonts w:eastAsia="Times New Roman" w:cs="Times New Roman"/>
      <w:szCs w:val="20"/>
    </w:rPr>
  </w:style>
  <w:style w:type="paragraph" w:styleId="TableofAuthorities">
    <w:name w:val="table of authorities"/>
    <w:basedOn w:val="Normal"/>
    <w:next w:val="Normal"/>
    <w:semiHidden/>
    <w:unhideWhenUsed/>
    <w:rsid w:val="00EF6CD8"/>
    <w:pPr>
      <w:spacing w:after="0"/>
      <w:ind w:left="240" w:hanging="240"/>
    </w:pPr>
  </w:style>
  <w:style w:type="paragraph" w:styleId="TOAHeading">
    <w:name w:val="toa heading"/>
    <w:basedOn w:val="Normal"/>
    <w:next w:val="Normal"/>
    <w:semiHidden/>
    <w:unhideWhenUsed/>
    <w:rsid w:val="00EF6CD8"/>
    <w:pPr>
      <w:spacing w:before="120"/>
    </w:pPr>
    <w:rPr>
      <w:b/>
      <w:bCs/>
      <w:szCs w:val="24"/>
    </w:rPr>
  </w:style>
  <w:style w:type="paragraph" w:styleId="TOCHeading">
    <w:name w:val="TOC Heading"/>
    <w:basedOn w:val="Heading1"/>
    <w:next w:val="Normal"/>
    <w:uiPriority w:val="39"/>
    <w:unhideWhenUsed/>
    <w:qFormat/>
    <w:rsid w:val="00EF6CD8"/>
  </w:style>
  <w:style w:type="paragraph" w:customStyle="1" w:styleId="TableCaption">
    <w:name w:val="Table Caption"/>
    <w:basedOn w:val="Caption"/>
    <w:link w:val="TableCaptionChar"/>
    <w:qFormat/>
    <w:rsid w:val="00EF6CD8"/>
    <w:pPr>
      <w:keepNext/>
      <w:spacing w:before="360" w:after="120"/>
    </w:pPr>
  </w:style>
  <w:style w:type="character" w:customStyle="1" w:styleId="CaptionChar">
    <w:name w:val="Caption Char"/>
    <w:basedOn w:val="DefaultParagraphFont"/>
    <w:link w:val="Caption"/>
    <w:uiPriority w:val="35"/>
    <w:rsid w:val="00EF6CD8"/>
    <w:rPr>
      <w:rFonts w:ascii="Arial" w:eastAsia="Times New Roman" w:hAnsi="Arial" w:cs="Times New Roman"/>
      <w:b/>
      <w:bCs/>
      <w:sz w:val="20"/>
      <w:szCs w:val="18"/>
    </w:rPr>
  </w:style>
  <w:style w:type="character" w:customStyle="1" w:styleId="TableCaptionChar">
    <w:name w:val="Table Caption Char"/>
    <w:basedOn w:val="CaptionChar"/>
    <w:link w:val="TableCaption"/>
    <w:rsid w:val="00EF6CD8"/>
    <w:rPr>
      <w:rFonts w:ascii="Arial" w:eastAsia="Times New Roman" w:hAnsi="Arial" w:cs="Times New Roman"/>
      <w:b/>
      <w:bCs/>
      <w:sz w:val="20"/>
      <w:szCs w:val="18"/>
    </w:rPr>
  </w:style>
  <w:style w:type="paragraph" w:customStyle="1" w:styleId="Paragraph">
    <w:name w:val="Paragraph"/>
    <w:basedOn w:val="Normal"/>
    <w:link w:val="ParagraphChar"/>
    <w:qFormat/>
    <w:rsid w:val="00EF6CD8"/>
    <w:pPr>
      <w:spacing w:before="120" w:after="180" w:line="259" w:lineRule="auto"/>
    </w:pPr>
    <w:rPr>
      <w:rFonts w:asciiTheme="minorHAnsi" w:hAnsiTheme="minorHAnsi"/>
      <w:shd w:val="clear" w:color="auto" w:fill="FFFFFF"/>
    </w:rPr>
  </w:style>
  <w:style w:type="paragraph" w:customStyle="1" w:styleId="FigureCaption">
    <w:name w:val="Figure Caption"/>
    <w:basedOn w:val="Caption"/>
    <w:next w:val="Normal"/>
    <w:link w:val="FigureCaptionChar"/>
    <w:qFormat/>
    <w:rsid w:val="00EF6CD8"/>
    <w:pPr>
      <w:spacing w:before="120"/>
    </w:pPr>
  </w:style>
  <w:style w:type="character" w:customStyle="1" w:styleId="ParagraphChar">
    <w:name w:val="Paragraph Char"/>
    <w:basedOn w:val="DefaultParagraphFont"/>
    <w:link w:val="Paragraph"/>
    <w:rsid w:val="00EF6CD8"/>
    <w:rPr>
      <w:rFonts w:asciiTheme="minorHAnsi" w:eastAsia="Times New Roman" w:hAnsiTheme="minorHAnsi" w:cs="Times New Roman"/>
      <w:szCs w:val="20"/>
    </w:rPr>
  </w:style>
  <w:style w:type="character" w:customStyle="1" w:styleId="FigureCaptionChar">
    <w:name w:val="Figure Caption Char"/>
    <w:basedOn w:val="CaptionChar"/>
    <w:link w:val="FigureCaption"/>
    <w:rsid w:val="00EF6CD8"/>
    <w:rPr>
      <w:rFonts w:ascii="Arial" w:eastAsia="Times New Roman" w:hAnsi="Arial" w:cs="Times New Roman"/>
      <w:b/>
      <w:bCs/>
      <w:sz w:val="20"/>
      <w:szCs w:val="18"/>
    </w:rPr>
  </w:style>
  <w:style w:type="paragraph" w:customStyle="1" w:styleId="FrontMatterHeading">
    <w:name w:val="Front Matter Heading"/>
    <w:basedOn w:val="Heading2"/>
    <w:qFormat/>
    <w:rsid w:val="00EF6CD8"/>
    <w:pPr>
      <w:jc w:val="left"/>
    </w:pPr>
  </w:style>
  <w:style w:type="table" w:styleId="ListTable1Light">
    <w:name w:val="List Table 1 Light"/>
    <w:basedOn w:val="TableNormal"/>
    <w:uiPriority w:val="46"/>
    <w:rsid w:val="00EF6CD8"/>
    <w:pPr>
      <w:spacing w:after="0" w:line="240" w:lineRule="auto"/>
    </w:pPr>
    <w:rPr>
      <w:rFonts w:eastAsia="Times New Roman" w:cs="Times New Roman"/>
      <w:sz w:val="20"/>
      <w:szCs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EF6CD8"/>
    <w:pPr>
      <w:spacing w:after="0" w:line="240" w:lineRule="auto"/>
    </w:pPr>
    <w:rPr>
      <w:rFonts w:eastAsia="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EF6CD8"/>
    <w:pPr>
      <w:spacing w:after="0" w:line="240" w:lineRule="auto"/>
    </w:pPr>
    <w:rPr>
      <w:rFonts w:eastAsia="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
    <w:name w:val="List Table 2"/>
    <w:basedOn w:val="TableNormal"/>
    <w:uiPriority w:val="47"/>
    <w:rsid w:val="00EF6CD8"/>
    <w:pPr>
      <w:spacing w:after="0" w:line="240" w:lineRule="auto"/>
    </w:pPr>
    <w:rPr>
      <w:rFonts w:eastAsia="Times New Roman" w:cs="Times New Roman"/>
      <w:sz w:val="20"/>
      <w:szCs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EF6CD8"/>
    <w:pPr>
      <w:spacing w:after="0" w:line="240" w:lineRule="auto"/>
    </w:pPr>
    <w:rPr>
      <w:rFonts w:eastAsia="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350C45"/>
  </w:style>
  <w:style w:type="character" w:styleId="FootnoteReference">
    <w:name w:val="footnote reference"/>
    <w:basedOn w:val="DefaultParagraphFont"/>
    <w:uiPriority w:val="99"/>
    <w:semiHidden/>
    <w:rsid w:val="00350C45"/>
    <w:rPr>
      <w:vertAlign w:val="superscript"/>
    </w:rPr>
  </w:style>
  <w:style w:type="character" w:styleId="EndnoteReference">
    <w:name w:val="endnote reference"/>
    <w:basedOn w:val="DefaultParagraphFont"/>
    <w:uiPriority w:val="99"/>
    <w:semiHidden/>
    <w:unhideWhenUsed/>
    <w:rsid w:val="007F47CE"/>
    <w:rPr>
      <w:vertAlign w:val="superscript"/>
    </w:rPr>
  </w:style>
  <w:style w:type="paragraph" w:customStyle="1" w:styleId="BodyA">
    <w:name w:val="Body A"/>
    <w:rsid w:val="00EF6CD8"/>
    <w:pPr>
      <w:pBdr>
        <w:top w:val="nil"/>
        <w:left w:val="nil"/>
        <w:bottom w:val="nil"/>
        <w:right w:val="nil"/>
        <w:between w:val="nil"/>
        <w:bar w:val="nil"/>
      </w:pBdr>
      <w:spacing w:after="5" w:line="247" w:lineRule="auto"/>
      <w:ind w:left="1454" w:hanging="14"/>
    </w:pPr>
    <w:rPr>
      <w:rFonts w:eastAsia="Times New Roman" w:cs="Times New Roman"/>
      <w:color w:val="000000"/>
      <w:szCs w:val="24"/>
      <w:u w:color="000000"/>
      <w:bdr w:val="nil"/>
    </w:rPr>
  </w:style>
  <w:style w:type="table" w:customStyle="1" w:styleId="TableGrid1">
    <w:name w:val="Table Grid1"/>
    <w:basedOn w:val="TableNormal"/>
    <w:next w:val="TableGrid"/>
    <w:uiPriority w:val="59"/>
    <w:rsid w:val="00EE5522"/>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69">
      <w:bodyDiv w:val="1"/>
      <w:marLeft w:val="0"/>
      <w:marRight w:val="0"/>
      <w:marTop w:val="0"/>
      <w:marBottom w:val="0"/>
      <w:divBdr>
        <w:top w:val="none" w:sz="0" w:space="0" w:color="auto"/>
        <w:left w:val="none" w:sz="0" w:space="0" w:color="auto"/>
        <w:bottom w:val="none" w:sz="0" w:space="0" w:color="auto"/>
        <w:right w:val="none" w:sz="0" w:space="0" w:color="auto"/>
      </w:divBdr>
    </w:div>
    <w:div w:id="53549248">
      <w:bodyDiv w:val="1"/>
      <w:marLeft w:val="0"/>
      <w:marRight w:val="0"/>
      <w:marTop w:val="0"/>
      <w:marBottom w:val="0"/>
      <w:divBdr>
        <w:top w:val="none" w:sz="0" w:space="0" w:color="auto"/>
        <w:left w:val="none" w:sz="0" w:space="0" w:color="auto"/>
        <w:bottom w:val="none" w:sz="0" w:space="0" w:color="auto"/>
        <w:right w:val="none" w:sz="0" w:space="0" w:color="auto"/>
      </w:divBdr>
    </w:div>
    <w:div w:id="213079310">
      <w:bodyDiv w:val="1"/>
      <w:marLeft w:val="0"/>
      <w:marRight w:val="0"/>
      <w:marTop w:val="0"/>
      <w:marBottom w:val="0"/>
      <w:divBdr>
        <w:top w:val="none" w:sz="0" w:space="0" w:color="auto"/>
        <w:left w:val="none" w:sz="0" w:space="0" w:color="auto"/>
        <w:bottom w:val="none" w:sz="0" w:space="0" w:color="auto"/>
        <w:right w:val="none" w:sz="0" w:space="0" w:color="auto"/>
      </w:divBdr>
    </w:div>
    <w:div w:id="1239513905">
      <w:bodyDiv w:val="1"/>
      <w:marLeft w:val="0"/>
      <w:marRight w:val="0"/>
      <w:marTop w:val="0"/>
      <w:marBottom w:val="0"/>
      <w:divBdr>
        <w:top w:val="none" w:sz="0" w:space="0" w:color="auto"/>
        <w:left w:val="none" w:sz="0" w:space="0" w:color="auto"/>
        <w:bottom w:val="none" w:sz="0" w:space="0" w:color="auto"/>
        <w:right w:val="none" w:sz="0" w:space="0" w:color="auto"/>
      </w:divBdr>
    </w:div>
    <w:div w:id="210295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lawfilesext.leg.wa.gov/biennium/2019-20/Pdf/Bills/Session%20Laws/Senate/5811.SL.pdf?q=2020041014500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E44FB3CB40574AB0DC49F778B62073" ma:contentTypeVersion="2" ma:contentTypeDescription="Create a new document." ma:contentTypeScope="" ma:versionID="d9d9516a6aacbadb4a1f2b9ebfbab808">
  <xsd:schema xmlns:xsd="http://www.w3.org/2001/XMLSchema" xmlns:xs="http://www.w3.org/2001/XMLSchema" xmlns:p="http://schemas.microsoft.com/office/2006/metadata/properties" xmlns:ns2="2cdfab95-1cee-43ea-9ce9-69d46a0faa2e" xmlns:ns3="d3230e84-e764-4f9f-8cd0-fd6218ef88ab" xmlns:ns4="1b803b3a-1bb4-4bf2-a78f-b71c78bda936" targetNamespace="http://schemas.microsoft.com/office/2006/metadata/properties" ma:root="true" ma:fieldsID="6401c0602e68660a526a8509ebb4f357" ns2:_="" ns3:_="" ns4:_="">
    <xsd:import namespace="2cdfab95-1cee-43ea-9ce9-69d46a0faa2e"/>
    <xsd:import namespace="d3230e84-e764-4f9f-8cd0-fd6218ef88ab"/>
    <xsd:import namespace="1b803b3a-1bb4-4bf2-a78f-b71c78bda93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fab95-1cee-43ea-9ce9-69d46a0faa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230e84-e764-4f9f-8cd0-fd6218ef88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803b3a-1bb4-4bf2-a78f-b71c78bda936" elementFormDefault="qualified">
    <xsd:import namespace="http://schemas.microsoft.com/office/2006/documentManagement/types"/>
    <xsd:import namespace="http://schemas.microsoft.com/office/infopath/2007/PartnerControls"/>
    <xsd:element name="Document_x0020_Category" ma:index="12" nillable="true" ma:displayName="Document Category" ma:format="Dropdown" ma:internalName="Document_x0020_Category">
      <xsd:simpleType>
        <xsd:union memberTypes="dms:Text">
          <xsd:simpleType>
            <xsd:restriction base="dms:Choice">
              <xsd:enumeration value="2021 Chapters"/>
              <xsd:enumeration value="2021 Support Document"/>
              <xsd:enumeration value="2021 Chapter 11: Pulp &amp; Paper Appendices"/>
              <xsd:enumeration value="2021 Chapter 11: Refineries Appendices"/>
              <xsd:enumeration value="2021 Chapter 11: Other Appendices"/>
              <xsd:enumeration value="Previous Chapters"/>
              <xsd:enumeration value="Industry FFA Request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1b803b3a-1bb4-4bf2-a78f-b71c78bda936">2021 Chapters</Document_x0020_Categor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ABA0A-9916-401E-8167-EA9FBCEE1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fab95-1cee-43ea-9ce9-69d46a0faa2e"/>
    <ds:schemaRef ds:uri="d3230e84-e764-4f9f-8cd0-fd6218ef88ab"/>
    <ds:schemaRef ds:uri="1b803b3a-1bb4-4bf2-a78f-b71c78bda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4331E-3B56-4DD0-89E2-2618CD27ABE4}">
  <ds:schemaRefs>
    <ds:schemaRef ds:uri="http://schemas.microsoft.com/sharepoint/v3/contenttype/forms"/>
  </ds:schemaRefs>
</ds:datastoreItem>
</file>

<file path=customXml/itemProps3.xml><?xml version="1.0" encoding="utf-8"?>
<ds:datastoreItem xmlns:ds="http://schemas.openxmlformats.org/officeDocument/2006/customXml" ds:itemID="{22101C34-A473-4C10-B570-60F5EAF707E5}">
  <ds:schemaRefs>
    <ds:schemaRef ds:uri="http://schemas.microsoft.com/sharepoint/events"/>
  </ds:schemaRefs>
</ds:datastoreItem>
</file>

<file path=customXml/itemProps4.xml><?xml version="1.0" encoding="utf-8"?>
<ds:datastoreItem xmlns:ds="http://schemas.openxmlformats.org/officeDocument/2006/customXml" ds:itemID="{62C91F7D-4A7E-4A51-8E5B-3B029610591F}">
  <ds:schemaRefs>
    <ds:schemaRef ds:uri="http://purl.org/dc/dcmitype/"/>
    <ds:schemaRef ds:uri="d3230e84-e764-4f9f-8cd0-fd6218ef88ab"/>
    <ds:schemaRef ds:uri="http://purl.org/dc/elements/1.1/"/>
    <ds:schemaRef ds:uri="http://schemas.microsoft.com/office/2006/metadata/properties"/>
    <ds:schemaRef ds:uri="2cdfab95-1cee-43ea-9ce9-69d46a0faa2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1b803b3a-1bb4-4bf2-a78f-b71c78bda936"/>
    <ds:schemaRef ds:uri="http://www.w3.org/XML/1998/namespace"/>
  </ds:schemaRefs>
</ds:datastoreItem>
</file>

<file path=customXml/itemProps5.xml><?xml version="1.0" encoding="utf-8"?>
<ds:datastoreItem xmlns:ds="http://schemas.openxmlformats.org/officeDocument/2006/customXml" ds:itemID="{471BDF2E-13EF-4493-B5EC-C7056092F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5223</Words>
  <Characters>29772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34926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Huys, Jean-Paul (ECY)</dc:creator>
  <cp:keywords/>
  <dc:description/>
  <cp:lastModifiedBy>Stinson, Colleen (ECY)</cp:lastModifiedBy>
  <cp:revision>2</cp:revision>
  <dcterms:created xsi:type="dcterms:W3CDTF">2021-01-11T22:37:00Z</dcterms:created>
  <dcterms:modified xsi:type="dcterms:W3CDTF">2021-01-11T22:37:00Z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0x010100A0E44FB3CB40574AB0DC49F778B62073</vt:lpwstr>
  </property>
</Properties>
</file>