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8C9B7" w14:textId="50875237" w:rsidR="00810AD0" w:rsidRDefault="00810AD0" w:rsidP="009C79C2">
      <w:pPr>
        <w:pStyle w:val="Heading2"/>
        <w:tabs>
          <w:tab w:val="left" w:pos="8730"/>
        </w:tabs>
      </w:pPr>
      <w:bookmarkStart w:id="0" w:name="_Toc49932147"/>
      <w:bookmarkStart w:id="1" w:name="_Toc51673337"/>
      <w:bookmarkStart w:id="2" w:name="_Toc51674153"/>
      <w:bookmarkStart w:id="3" w:name="_Toc51674393"/>
      <w:bookmarkStart w:id="4" w:name="_Toc49523827"/>
      <w:bookmarkStart w:id="5" w:name="_Toc49863848"/>
      <w:bookmarkStart w:id="6" w:name="_GoBack"/>
      <w:bookmarkEnd w:id="6"/>
      <w:r>
        <w:t>Table of Contents</w:t>
      </w:r>
      <w:bookmarkEnd w:id="0"/>
      <w:bookmarkEnd w:id="1"/>
      <w:bookmarkEnd w:id="2"/>
      <w:bookmarkEnd w:id="3"/>
    </w:p>
    <w:p w14:paraId="248C0C3F" w14:textId="7D7994A0" w:rsidR="00BB242F" w:rsidRDefault="009C79C2">
      <w:pPr>
        <w:pStyle w:val="TOC2"/>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51674393" w:history="1">
        <w:r w:rsidR="00BB242F" w:rsidRPr="001E5232">
          <w:rPr>
            <w:rStyle w:val="Hyperlink"/>
            <w:noProof/>
          </w:rPr>
          <w:t>Table of Contents</w:t>
        </w:r>
        <w:r w:rsidR="00BB242F">
          <w:rPr>
            <w:noProof/>
            <w:webHidden/>
          </w:rPr>
          <w:tab/>
        </w:r>
        <w:r w:rsidR="00BB242F">
          <w:rPr>
            <w:noProof/>
            <w:webHidden/>
          </w:rPr>
          <w:fldChar w:fldCharType="begin"/>
        </w:r>
        <w:r w:rsidR="00BB242F">
          <w:rPr>
            <w:noProof/>
            <w:webHidden/>
          </w:rPr>
          <w:instrText xml:space="preserve"> PAGEREF _Toc51674393 \h </w:instrText>
        </w:r>
        <w:r w:rsidR="00BB242F">
          <w:rPr>
            <w:noProof/>
            <w:webHidden/>
          </w:rPr>
        </w:r>
        <w:r w:rsidR="00BB242F">
          <w:rPr>
            <w:noProof/>
            <w:webHidden/>
          </w:rPr>
          <w:fldChar w:fldCharType="separate"/>
        </w:r>
        <w:r w:rsidR="00BB242F">
          <w:rPr>
            <w:noProof/>
            <w:webHidden/>
          </w:rPr>
          <w:t>1</w:t>
        </w:r>
        <w:r w:rsidR="00BB242F">
          <w:rPr>
            <w:noProof/>
            <w:webHidden/>
          </w:rPr>
          <w:fldChar w:fldCharType="end"/>
        </w:r>
      </w:hyperlink>
    </w:p>
    <w:p w14:paraId="2BBE82B0" w14:textId="69DE1575" w:rsidR="00BB242F" w:rsidRDefault="009901CB">
      <w:pPr>
        <w:pStyle w:val="TOC2"/>
        <w:rPr>
          <w:rFonts w:asciiTheme="minorHAnsi" w:eastAsiaTheme="minorEastAsia" w:hAnsiTheme="minorHAnsi" w:cstheme="minorBidi"/>
          <w:noProof/>
          <w:sz w:val="22"/>
          <w:szCs w:val="22"/>
        </w:rPr>
      </w:pPr>
      <w:hyperlink w:anchor="_Toc51674394" w:history="1">
        <w:r w:rsidR="00BB242F" w:rsidRPr="001E5232">
          <w:rPr>
            <w:rStyle w:val="Hyperlink"/>
            <w:noProof/>
          </w:rPr>
          <w:t>Tables</w:t>
        </w:r>
        <w:r w:rsidR="00BB242F">
          <w:rPr>
            <w:noProof/>
            <w:webHidden/>
          </w:rPr>
          <w:tab/>
        </w:r>
        <w:r w:rsidR="00BB242F">
          <w:rPr>
            <w:noProof/>
            <w:webHidden/>
          </w:rPr>
          <w:fldChar w:fldCharType="begin"/>
        </w:r>
        <w:r w:rsidR="00BB242F">
          <w:rPr>
            <w:noProof/>
            <w:webHidden/>
          </w:rPr>
          <w:instrText xml:space="preserve"> PAGEREF _Toc51674394 \h </w:instrText>
        </w:r>
        <w:r w:rsidR="00BB242F">
          <w:rPr>
            <w:noProof/>
            <w:webHidden/>
          </w:rPr>
        </w:r>
        <w:r w:rsidR="00BB242F">
          <w:rPr>
            <w:noProof/>
            <w:webHidden/>
          </w:rPr>
          <w:fldChar w:fldCharType="separate"/>
        </w:r>
        <w:r w:rsidR="00BB242F">
          <w:rPr>
            <w:noProof/>
            <w:webHidden/>
          </w:rPr>
          <w:t>3</w:t>
        </w:r>
        <w:r w:rsidR="00BB242F">
          <w:rPr>
            <w:noProof/>
            <w:webHidden/>
          </w:rPr>
          <w:fldChar w:fldCharType="end"/>
        </w:r>
      </w:hyperlink>
    </w:p>
    <w:p w14:paraId="46A85D73" w14:textId="7D27AEDB" w:rsidR="00BB242F" w:rsidRDefault="009901CB">
      <w:pPr>
        <w:pStyle w:val="TOC2"/>
        <w:rPr>
          <w:rFonts w:asciiTheme="minorHAnsi" w:eastAsiaTheme="minorEastAsia" w:hAnsiTheme="minorHAnsi" w:cstheme="minorBidi"/>
          <w:noProof/>
          <w:sz w:val="22"/>
          <w:szCs w:val="22"/>
        </w:rPr>
      </w:pPr>
      <w:hyperlink w:anchor="_Toc51674395" w:history="1">
        <w:r w:rsidR="00BB242F" w:rsidRPr="001E5232">
          <w:rPr>
            <w:rStyle w:val="Hyperlink"/>
            <w:noProof/>
          </w:rPr>
          <w:t>Figures</w:t>
        </w:r>
        <w:r w:rsidR="00BB242F">
          <w:rPr>
            <w:noProof/>
            <w:webHidden/>
          </w:rPr>
          <w:tab/>
        </w:r>
        <w:r w:rsidR="00BB242F">
          <w:rPr>
            <w:noProof/>
            <w:webHidden/>
          </w:rPr>
          <w:fldChar w:fldCharType="begin"/>
        </w:r>
        <w:r w:rsidR="00BB242F">
          <w:rPr>
            <w:noProof/>
            <w:webHidden/>
          </w:rPr>
          <w:instrText xml:space="preserve"> PAGEREF _Toc51674395 \h </w:instrText>
        </w:r>
        <w:r w:rsidR="00BB242F">
          <w:rPr>
            <w:noProof/>
            <w:webHidden/>
          </w:rPr>
        </w:r>
        <w:r w:rsidR="00BB242F">
          <w:rPr>
            <w:noProof/>
            <w:webHidden/>
          </w:rPr>
          <w:fldChar w:fldCharType="separate"/>
        </w:r>
        <w:r w:rsidR="00BB242F">
          <w:rPr>
            <w:noProof/>
            <w:webHidden/>
          </w:rPr>
          <w:t>4</w:t>
        </w:r>
        <w:r w:rsidR="00BB242F">
          <w:rPr>
            <w:noProof/>
            <w:webHidden/>
          </w:rPr>
          <w:fldChar w:fldCharType="end"/>
        </w:r>
      </w:hyperlink>
    </w:p>
    <w:p w14:paraId="4415D181" w14:textId="349238F4" w:rsidR="00BB242F" w:rsidRDefault="009901CB">
      <w:pPr>
        <w:pStyle w:val="TOC2"/>
        <w:rPr>
          <w:rFonts w:asciiTheme="minorHAnsi" w:eastAsiaTheme="minorEastAsia" w:hAnsiTheme="minorHAnsi" w:cstheme="minorBidi"/>
          <w:noProof/>
          <w:sz w:val="22"/>
          <w:szCs w:val="22"/>
        </w:rPr>
      </w:pPr>
      <w:hyperlink w:anchor="_Toc51674396" w:history="1">
        <w:r w:rsidR="00BB242F" w:rsidRPr="001E5232">
          <w:rPr>
            <w:rStyle w:val="Hyperlink"/>
            <w:noProof/>
          </w:rPr>
          <w:t>Four-Factor Analysis</w:t>
        </w:r>
        <w:r w:rsidR="00BB242F">
          <w:rPr>
            <w:noProof/>
            <w:webHidden/>
          </w:rPr>
          <w:tab/>
        </w:r>
        <w:r w:rsidR="00BB242F">
          <w:rPr>
            <w:noProof/>
            <w:webHidden/>
          </w:rPr>
          <w:fldChar w:fldCharType="begin"/>
        </w:r>
        <w:r w:rsidR="00BB242F">
          <w:rPr>
            <w:noProof/>
            <w:webHidden/>
          </w:rPr>
          <w:instrText xml:space="preserve"> PAGEREF _Toc51674396 \h </w:instrText>
        </w:r>
        <w:r w:rsidR="00BB242F">
          <w:rPr>
            <w:noProof/>
            <w:webHidden/>
          </w:rPr>
        </w:r>
        <w:r w:rsidR="00BB242F">
          <w:rPr>
            <w:noProof/>
            <w:webHidden/>
          </w:rPr>
          <w:fldChar w:fldCharType="separate"/>
        </w:r>
        <w:r w:rsidR="00BB242F">
          <w:rPr>
            <w:noProof/>
            <w:webHidden/>
          </w:rPr>
          <w:t>5</w:t>
        </w:r>
        <w:r w:rsidR="00BB242F">
          <w:rPr>
            <w:noProof/>
            <w:webHidden/>
          </w:rPr>
          <w:fldChar w:fldCharType="end"/>
        </w:r>
      </w:hyperlink>
    </w:p>
    <w:p w14:paraId="14131BB5" w14:textId="38C884EA" w:rsidR="00BB242F" w:rsidRDefault="009901CB">
      <w:pPr>
        <w:pStyle w:val="TOC3"/>
        <w:rPr>
          <w:rFonts w:asciiTheme="minorHAnsi" w:eastAsiaTheme="minorEastAsia" w:hAnsiTheme="minorHAnsi" w:cstheme="minorBidi"/>
          <w:noProof/>
          <w:sz w:val="22"/>
          <w:szCs w:val="22"/>
        </w:rPr>
      </w:pPr>
      <w:hyperlink w:anchor="_Toc51674397" w:history="1">
        <w:r w:rsidR="00BB242F" w:rsidRPr="001E5232">
          <w:rPr>
            <w:rStyle w:val="Hyperlink"/>
            <w:noProof/>
          </w:rPr>
          <w:t>Introduction</w:t>
        </w:r>
        <w:r w:rsidR="00BB242F">
          <w:rPr>
            <w:noProof/>
            <w:webHidden/>
          </w:rPr>
          <w:tab/>
        </w:r>
        <w:r w:rsidR="00BB242F">
          <w:rPr>
            <w:noProof/>
            <w:webHidden/>
          </w:rPr>
          <w:fldChar w:fldCharType="begin"/>
        </w:r>
        <w:r w:rsidR="00BB242F">
          <w:rPr>
            <w:noProof/>
            <w:webHidden/>
          </w:rPr>
          <w:instrText xml:space="preserve"> PAGEREF _Toc51674397 \h </w:instrText>
        </w:r>
        <w:r w:rsidR="00BB242F">
          <w:rPr>
            <w:noProof/>
            <w:webHidden/>
          </w:rPr>
        </w:r>
        <w:r w:rsidR="00BB242F">
          <w:rPr>
            <w:noProof/>
            <w:webHidden/>
          </w:rPr>
          <w:fldChar w:fldCharType="separate"/>
        </w:r>
        <w:r w:rsidR="00BB242F">
          <w:rPr>
            <w:noProof/>
            <w:webHidden/>
          </w:rPr>
          <w:t>5</w:t>
        </w:r>
        <w:r w:rsidR="00BB242F">
          <w:rPr>
            <w:noProof/>
            <w:webHidden/>
          </w:rPr>
          <w:fldChar w:fldCharType="end"/>
        </w:r>
      </w:hyperlink>
    </w:p>
    <w:p w14:paraId="3C1A9A10" w14:textId="1D3F179A" w:rsidR="00BB242F" w:rsidRDefault="009901CB">
      <w:pPr>
        <w:pStyle w:val="TOC3"/>
        <w:rPr>
          <w:rFonts w:asciiTheme="minorHAnsi" w:eastAsiaTheme="minorEastAsia" w:hAnsiTheme="minorHAnsi" w:cstheme="minorBidi"/>
          <w:noProof/>
          <w:sz w:val="22"/>
          <w:szCs w:val="22"/>
        </w:rPr>
      </w:pPr>
      <w:hyperlink w:anchor="_Toc51674398" w:history="1">
        <w:r w:rsidR="00BB242F" w:rsidRPr="001E5232">
          <w:rPr>
            <w:rStyle w:val="Hyperlink"/>
            <w:noProof/>
          </w:rPr>
          <w:t>Source screening analysis (Q/d)</w:t>
        </w:r>
        <w:r w:rsidR="00BB242F">
          <w:rPr>
            <w:noProof/>
            <w:webHidden/>
          </w:rPr>
          <w:tab/>
        </w:r>
        <w:r w:rsidR="00BB242F">
          <w:rPr>
            <w:noProof/>
            <w:webHidden/>
          </w:rPr>
          <w:fldChar w:fldCharType="begin"/>
        </w:r>
        <w:r w:rsidR="00BB242F">
          <w:rPr>
            <w:noProof/>
            <w:webHidden/>
          </w:rPr>
          <w:instrText xml:space="preserve"> PAGEREF _Toc51674398 \h </w:instrText>
        </w:r>
        <w:r w:rsidR="00BB242F">
          <w:rPr>
            <w:noProof/>
            <w:webHidden/>
          </w:rPr>
        </w:r>
        <w:r w:rsidR="00BB242F">
          <w:rPr>
            <w:noProof/>
            <w:webHidden/>
          </w:rPr>
          <w:fldChar w:fldCharType="separate"/>
        </w:r>
        <w:r w:rsidR="00BB242F">
          <w:rPr>
            <w:noProof/>
            <w:webHidden/>
          </w:rPr>
          <w:t>6</w:t>
        </w:r>
        <w:r w:rsidR="00BB242F">
          <w:rPr>
            <w:noProof/>
            <w:webHidden/>
          </w:rPr>
          <w:fldChar w:fldCharType="end"/>
        </w:r>
      </w:hyperlink>
    </w:p>
    <w:p w14:paraId="63953133" w14:textId="727415FA" w:rsidR="00BB242F" w:rsidRDefault="009901CB">
      <w:pPr>
        <w:pStyle w:val="TOC4"/>
        <w:rPr>
          <w:rFonts w:asciiTheme="minorHAnsi" w:eastAsiaTheme="minorEastAsia" w:hAnsiTheme="minorHAnsi" w:cstheme="minorBidi"/>
          <w:noProof/>
          <w:sz w:val="22"/>
          <w:szCs w:val="22"/>
        </w:rPr>
      </w:pPr>
      <w:hyperlink w:anchor="_Toc51674399" w:history="1">
        <w:r w:rsidR="00BB242F" w:rsidRPr="001E5232">
          <w:rPr>
            <w:rStyle w:val="Hyperlink"/>
            <w:noProof/>
          </w:rPr>
          <w:t>Requests/contact with facilities</w:t>
        </w:r>
        <w:r w:rsidR="00BB242F">
          <w:rPr>
            <w:noProof/>
            <w:webHidden/>
          </w:rPr>
          <w:tab/>
        </w:r>
        <w:r w:rsidR="00BB242F">
          <w:rPr>
            <w:noProof/>
            <w:webHidden/>
          </w:rPr>
          <w:fldChar w:fldCharType="begin"/>
        </w:r>
        <w:r w:rsidR="00BB242F">
          <w:rPr>
            <w:noProof/>
            <w:webHidden/>
          </w:rPr>
          <w:instrText xml:space="preserve"> PAGEREF _Toc51674399 \h </w:instrText>
        </w:r>
        <w:r w:rsidR="00BB242F">
          <w:rPr>
            <w:noProof/>
            <w:webHidden/>
          </w:rPr>
        </w:r>
        <w:r w:rsidR="00BB242F">
          <w:rPr>
            <w:noProof/>
            <w:webHidden/>
          </w:rPr>
          <w:fldChar w:fldCharType="separate"/>
        </w:r>
        <w:r w:rsidR="00BB242F">
          <w:rPr>
            <w:noProof/>
            <w:webHidden/>
          </w:rPr>
          <w:t>15</w:t>
        </w:r>
        <w:r w:rsidR="00BB242F">
          <w:rPr>
            <w:noProof/>
            <w:webHidden/>
          </w:rPr>
          <w:fldChar w:fldCharType="end"/>
        </w:r>
      </w:hyperlink>
    </w:p>
    <w:p w14:paraId="6D8D661D" w14:textId="496160C0" w:rsidR="00BB242F" w:rsidRDefault="009901CB">
      <w:pPr>
        <w:pStyle w:val="TOC3"/>
        <w:rPr>
          <w:rFonts w:asciiTheme="minorHAnsi" w:eastAsiaTheme="minorEastAsia" w:hAnsiTheme="minorHAnsi" w:cstheme="minorBidi"/>
          <w:noProof/>
          <w:sz w:val="22"/>
          <w:szCs w:val="22"/>
        </w:rPr>
      </w:pPr>
      <w:hyperlink w:anchor="_Toc51674400" w:history="1">
        <w:r w:rsidR="00BB242F" w:rsidRPr="001E5232">
          <w:rPr>
            <w:rStyle w:val="Hyperlink"/>
            <w:noProof/>
          </w:rPr>
          <w:t>Facility specific FFAs</w:t>
        </w:r>
        <w:r w:rsidR="00BB242F">
          <w:rPr>
            <w:noProof/>
            <w:webHidden/>
          </w:rPr>
          <w:tab/>
        </w:r>
        <w:r w:rsidR="00BB242F">
          <w:rPr>
            <w:noProof/>
            <w:webHidden/>
          </w:rPr>
          <w:fldChar w:fldCharType="begin"/>
        </w:r>
        <w:r w:rsidR="00BB242F">
          <w:rPr>
            <w:noProof/>
            <w:webHidden/>
          </w:rPr>
          <w:instrText xml:space="preserve"> PAGEREF _Toc51674400 \h </w:instrText>
        </w:r>
        <w:r w:rsidR="00BB242F">
          <w:rPr>
            <w:noProof/>
            <w:webHidden/>
          </w:rPr>
        </w:r>
        <w:r w:rsidR="00BB242F">
          <w:rPr>
            <w:noProof/>
            <w:webHidden/>
          </w:rPr>
          <w:fldChar w:fldCharType="separate"/>
        </w:r>
        <w:r w:rsidR="00BB242F">
          <w:rPr>
            <w:noProof/>
            <w:webHidden/>
          </w:rPr>
          <w:t>15</w:t>
        </w:r>
        <w:r w:rsidR="00BB242F">
          <w:rPr>
            <w:noProof/>
            <w:webHidden/>
          </w:rPr>
          <w:fldChar w:fldCharType="end"/>
        </w:r>
      </w:hyperlink>
    </w:p>
    <w:p w14:paraId="649358A6" w14:textId="74F6E934" w:rsidR="00BB242F" w:rsidRDefault="009901CB">
      <w:pPr>
        <w:pStyle w:val="TOC4"/>
        <w:rPr>
          <w:rFonts w:asciiTheme="minorHAnsi" w:eastAsiaTheme="minorEastAsia" w:hAnsiTheme="minorHAnsi" w:cstheme="minorBidi"/>
          <w:noProof/>
          <w:sz w:val="22"/>
          <w:szCs w:val="22"/>
        </w:rPr>
      </w:pPr>
      <w:hyperlink w:anchor="_Toc51674401" w:history="1">
        <w:r w:rsidR="00BB242F" w:rsidRPr="001E5232">
          <w:rPr>
            <w:rStyle w:val="Hyperlink"/>
            <w:noProof/>
            <w:shd w:val="clear" w:color="auto" w:fill="FFFFFF"/>
          </w:rPr>
          <w:t>Ash Grove Cement Company</w:t>
        </w:r>
        <w:r w:rsidR="00BB242F">
          <w:rPr>
            <w:noProof/>
            <w:webHidden/>
          </w:rPr>
          <w:tab/>
        </w:r>
        <w:r w:rsidR="00BB242F">
          <w:rPr>
            <w:noProof/>
            <w:webHidden/>
          </w:rPr>
          <w:fldChar w:fldCharType="begin"/>
        </w:r>
        <w:r w:rsidR="00BB242F">
          <w:rPr>
            <w:noProof/>
            <w:webHidden/>
          </w:rPr>
          <w:instrText xml:space="preserve"> PAGEREF _Toc51674401 \h </w:instrText>
        </w:r>
        <w:r w:rsidR="00BB242F">
          <w:rPr>
            <w:noProof/>
            <w:webHidden/>
          </w:rPr>
        </w:r>
        <w:r w:rsidR="00BB242F">
          <w:rPr>
            <w:noProof/>
            <w:webHidden/>
          </w:rPr>
          <w:fldChar w:fldCharType="separate"/>
        </w:r>
        <w:r w:rsidR="00BB242F">
          <w:rPr>
            <w:noProof/>
            <w:webHidden/>
          </w:rPr>
          <w:t>15</w:t>
        </w:r>
        <w:r w:rsidR="00BB242F">
          <w:rPr>
            <w:noProof/>
            <w:webHidden/>
          </w:rPr>
          <w:fldChar w:fldCharType="end"/>
        </w:r>
      </w:hyperlink>
    </w:p>
    <w:p w14:paraId="03BCCAB9" w14:textId="4F84E668" w:rsidR="00BB242F" w:rsidRDefault="009901CB">
      <w:pPr>
        <w:pStyle w:val="TOC5"/>
        <w:rPr>
          <w:rFonts w:asciiTheme="minorHAnsi" w:eastAsiaTheme="minorEastAsia" w:hAnsiTheme="minorHAnsi" w:cstheme="minorBidi"/>
          <w:noProof/>
          <w:sz w:val="22"/>
          <w:szCs w:val="22"/>
        </w:rPr>
      </w:pPr>
      <w:hyperlink w:anchor="_Toc51674402" w:history="1">
        <w:r w:rsidR="00BB242F" w:rsidRPr="001E5232">
          <w:rPr>
            <w:rStyle w:val="Hyperlink"/>
            <w:noProof/>
            <w:shd w:val="clear" w:color="auto" w:fill="FFFFFF"/>
          </w:rPr>
          <w:t xml:space="preserve">Consent </w:t>
        </w:r>
        <w:r w:rsidR="00BB242F" w:rsidRPr="001E5232">
          <w:rPr>
            <w:rStyle w:val="Hyperlink"/>
            <w:noProof/>
          </w:rPr>
          <w:t>decree</w:t>
        </w:r>
        <w:r w:rsidR="00BB242F">
          <w:rPr>
            <w:noProof/>
            <w:webHidden/>
          </w:rPr>
          <w:tab/>
        </w:r>
        <w:r w:rsidR="00BB242F">
          <w:rPr>
            <w:noProof/>
            <w:webHidden/>
          </w:rPr>
          <w:fldChar w:fldCharType="begin"/>
        </w:r>
        <w:r w:rsidR="00BB242F">
          <w:rPr>
            <w:noProof/>
            <w:webHidden/>
          </w:rPr>
          <w:instrText xml:space="preserve"> PAGEREF _Toc51674402 \h </w:instrText>
        </w:r>
        <w:r w:rsidR="00BB242F">
          <w:rPr>
            <w:noProof/>
            <w:webHidden/>
          </w:rPr>
        </w:r>
        <w:r w:rsidR="00BB242F">
          <w:rPr>
            <w:noProof/>
            <w:webHidden/>
          </w:rPr>
          <w:fldChar w:fldCharType="separate"/>
        </w:r>
        <w:r w:rsidR="00BB242F">
          <w:rPr>
            <w:noProof/>
            <w:webHidden/>
          </w:rPr>
          <w:t>15</w:t>
        </w:r>
        <w:r w:rsidR="00BB242F">
          <w:rPr>
            <w:noProof/>
            <w:webHidden/>
          </w:rPr>
          <w:fldChar w:fldCharType="end"/>
        </w:r>
      </w:hyperlink>
    </w:p>
    <w:p w14:paraId="7CB9DCB1" w14:textId="7F471532" w:rsidR="00BB242F" w:rsidRDefault="009901CB">
      <w:pPr>
        <w:pStyle w:val="TOC5"/>
        <w:rPr>
          <w:rFonts w:asciiTheme="minorHAnsi" w:eastAsiaTheme="minorEastAsia" w:hAnsiTheme="minorHAnsi" w:cstheme="minorBidi"/>
          <w:noProof/>
          <w:sz w:val="22"/>
          <w:szCs w:val="22"/>
        </w:rPr>
      </w:pPr>
      <w:hyperlink w:anchor="_Toc51674403" w:history="1">
        <w:r w:rsidR="00BB242F" w:rsidRPr="001E5232">
          <w:rPr>
            <w:rStyle w:val="Hyperlink"/>
            <w:noProof/>
            <w:shd w:val="clear" w:color="auto" w:fill="FFFFFF"/>
          </w:rPr>
          <w:t>Four Factor Analysis</w:t>
        </w:r>
        <w:r w:rsidR="00BB242F">
          <w:rPr>
            <w:noProof/>
            <w:webHidden/>
          </w:rPr>
          <w:tab/>
        </w:r>
        <w:r w:rsidR="00BB242F">
          <w:rPr>
            <w:noProof/>
            <w:webHidden/>
          </w:rPr>
          <w:fldChar w:fldCharType="begin"/>
        </w:r>
        <w:r w:rsidR="00BB242F">
          <w:rPr>
            <w:noProof/>
            <w:webHidden/>
          </w:rPr>
          <w:instrText xml:space="preserve"> PAGEREF _Toc51674403 \h </w:instrText>
        </w:r>
        <w:r w:rsidR="00BB242F">
          <w:rPr>
            <w:noProof/>
            <w:webHidden/>
          </w:rPr>
        </w:r>
        <w:r w:rsidR="00BB242F">
          <w:rPr>
            <w:noProof/>
            <w:webHidden/>
          </w:rPr>
          <w:fldChar w:fldCharType="separate"/>
        </w:r>
        <w:r w:rsidR="00BB242F">
          <w:rPr>
            <w:noProof/>
            <w:webHidden/>
          </w:rPr>
          <w:t>16</w:t>
        </w:r>
        <w:r w:rsidR="00BB242F">
          <w:rPr>
            <w:noProof/>
            <w:webHidden/>
          </w:rPr>
          <w:fldChar w:fldCharType="end"/>
        </w:r>
      </w:hyperlink>
    </w:p>
    <w:p w14:paraId="01546911" w14:textId="2DA77822" w:rsidR="00BB242F" w:rsidRDefault="009901CB">
      <w:pPr>
        <w:pStyle w:val="TOC5"/>
        <w:rPr>
          <w:rFonts w:asciiTheme="minorHAnsi" w:eastAsiaTheme="minorEastAsia" w:hAnsiTheme="minorHAnsi" w:cstheme="minorBidi"/>
          <w:noProof/>
          <w:sz w:val="22"/>
          <w:szCs w:val="22"/>
        </w:rPr>
      </w:pPr>
      <w:hyperlink w:anchor="_Toc51674404" w:history="1">
        <w:r w:rsidR="00BB242F" w:rsidRPr="001E5232">
          <w:rPr>
            <w:rStyle w:val="Hyperlink"/>
            <w:noProof/>
          </w:rPr>
          <w:t>Summary and preliminary recommendations</w:t>
        </w:r>
        <w:r w:rsidR="00BB242F">
          <w:rPr>
            <w:noProof/>
            <w:webHidden/>
          </w:rPr>
          <w:tab/>
        </w:r>
        <w:r w:rsidR="00BB242F">
          <w:rPr>
            <w:noProof/>
            <w:webHidden/>
          </w:rPr>
          <w:fldChar w:fldCharType="begin"/>
        </w:r>
        <w:r w:rsidR="00BB242F">
          <w:rPr>
            <w:noProof/>
            <w:webHidden/>
          </w:rPr>
          <w:instrText xml:space="preserve"> PAGEREF _Toc51674404 \h </w:instrText>
        </w:r>
        <w:r w:rsidR="00BB242F">
          <w:rPr>
            <w:noProof/>
            <w:webHidden/>
          </w:rPr>
        </w:r>
        <w:r w:rsidR="00BB242F">
          <w:rPr>
            <w:noProof/>
            <w:webHidden/>
          </w:rPr>
          <w:fldChar w:fldCharType="separate"/>
        </w:r>
        <w:r w:rsidR="00BB242F">
          <w:rPr>
            <w:noProof/>
            <w:webHidden/>
          </w:rPr>
          <w:t>18</w:t>
        </w:r>
        <w:r w:rsidR="00BB242F">
          <w:rPr>
            <w:noProof/>
            <w:webHidden/>
          </w:rPr>
          <w:fldChar w:fldCharType="end"/>
        </w:r>
      </w:hyperlink>
    </w:p>
    <w:p w14:paraId="1E4F60E8" w14:textId="71ECCF3A" w:rsidR="00BB242F" w:rsidRDefault="009901CB">
      <w:pPr>
        <w:pStyle w:val="TOC4"/>
        <w:rPr>
          <w:rFonts w:asciiTheme="minorHAnsi" w:eastAsiaTheme="minorEastAsia" w:hAnsiTheme="minorHAnsi" w:cstheme="minorBidi"/>
          <w:noProof/>
          <w:sz w:val="22"/>
          <w:szCs w:val="22"/>
        </w:rPr>
      </w:pPr>
      <w:hyperlink w:anchor="_Toc51674405" w:history="1">
        <w:r w:rsidR="00BB242F" w:rsidRPr="001E5232">
          <w:rPr>
            <w:rStyle w:val="Hyperlink"/>
            <w:noProof/>
          </w:rPr>
          <w:t>Cardinal Glass</w:t>
        </w:r>
        <w:r w:rsidR="00BB242F">
          <w:rPr>
            <w:noProof/>
            <w:webHidden/>
          </w:rPr>
          <w:tab/>
        </w:r>
        <w:r w:rsidR="00BB242F">
          <w:rPr>
            <w:noProof/>
            <w:webHidden/>
          </w:rPr>
          <w:fldChar w:fldCharType="begin"/>
        </w:r>
        <w:r w:rsidR="00BB242F">
          <w:rPr>
            <w:noProof/>
            <w:webHidden/>
          </w:rPr>
          <w:instrText xml:space="preserve"> PAGEREF _Toc51674405 \h </w:instrText>
        </w:r>
        <w:r w:rsidR="00BB242F">
          <w:rPr>
            <w:noProof/>
            <w:webHidden/>
          </w:rPr>
        </w:r>
        <w:r w:rsidR="00BB242F">
          <w:rPr>
            <w:noProof/>
            <w:webHidden/>
          </w:rPr>
          <w:fldChar w:fldCharType="separate"/>
        </w:r>
        <w:r w:rsidR="00BB242F">
          <w:rPr>
            <w:noProof/>
            <w:webHidden/>
          </w:rPr>
          <w:t>19</w:t>
        </w:r>
        <w:r w:rsidR="00BB242F">
          <w:rPr>
            <w:noProof/>
            <w:webHidden/>
          </w:rPr>
          <w:fldChar w:fldCharType="end"/>
        </w:r>
      </w:hyperlink>
    </w:p>
    <w:p w14:paraId="664572CE" w14:textId="272C3D3F" w:rsidR="00BB242F" w:rsidRDefault="009901CB">
      <w:pPr>
        <w:pStyle w:val="TOC5"/>
        <w:rPr>
          <w:rFonts w:asciiTheme="minorHAnsi" w:eastAsiaTheme="minorEastAsia" w:hAnsiTheme="minorHAnsi" w:cstheme="minorBidi"/>
          <w:noProof/>
          <w:sz w:val="22"/>
          <w:szCs w:val="22"/>
        </w:rPr>
      </w:pPr>
      <w:hyperlink w:anchor="_Toc51674406" w:history="1">
        <w:r w:rsidR="00BB242F" w:rsidRPr="001E5232">
          <w:rPr>
            <w:rStyle w:val="Hyperlink"/>
            <w:noProof/>
          </w:rPr>
          <w:t>Four-factor analysis</w:t>
        </w:r>
        <w:r w:rsidR="00BB242F">
          <w:rPr>
            <w:noProof/>
            <w:webHidden/>
          </w:rPr>
          <w:tab/>
        </w:r>
        <w:r w:rsidR="00BB242F">
          <w:rPr>
            <w:noProof/>
            <w:webHidden/>
          </w:rPr>
          <w:fldChar w:fldCharType="begin"/>
        </w:r>
        <w:r w:rsidR="00BB242F">
          <w:rPr>
            <w:noProof/>
            <w:webHidden/>
          </w:rPr>
          <w:instrText xml:space="preserve"> PAGEREF _Toc51674406 \h </w:instrText>
        </w:r>
        <w:r w:rsidR="00BB242F">
          <w:rPr>
            <w:noProof/>
            <w:webHidden/>
          </w:rPr>
        </w:r>
        <w:r w:rsidR="00BB242F">
          <w:rPr>
            <w:noProof/>
            <w:webHidden/>
          </w:rPr>
          <w:fldChar w:fldCharType="separate"/>
        </w:r>
        <w:r w:rsidR="00BB242F">
          <w:rPr>
            <w:noProof/>
            <w:webHidden/>
          </w:rPr>
          <w:t>19</w:t>
        </w:r>
        <w:r w:rsidR="00BB242F">
          <w:rPr>
            <w:noProof/>
            <w:webHidden/>
          </w:rPr>
          <w:fldChar w:fldCharType="end"/>
        </w:r>
      </w:hyperlink>
    </w:p>
    <w:p w14:paraId="11523BF7" w14:textId="7825460F" w:rsidR="00BB242F" w:rsidRDefault="009901CB">
      <w:pPr>
        <w:pStyle w:val="TOC5"/>
        <w:rPr>
          <w:rFonts w:asciiTheme="minorHAnsi" w:eastAsiaTheme="minorEastAsia" w:hAnsiTheme="minorHAnsi" w:cstheme="minorBidi"/>
          <w:noProof/>
          <w:sz w:val="22"/>
          <w:szCs w:val="22"/>
        </w:rPr>
      </w:pPr>
      <w:hyperlink w:anchor="_Toc51674407" w:history="1">
        <w:r w:rsidR="00BB242F" w:rsidRPr="001E5232">
          <w:rPr>
            <w:rStyle w:val="Hyperlink"/>
            <w:noProof/>
          </w:rPr>
          <w:t>Ecology’s review</w:t>
        </w:r>
        <w:r w:rsidR="00BB242F">
          <w:rPr>
            <w:noProof/>
            <w:webHidden/>
          </w:rPr>
          <w:tab/>
        </w:r>
        <w:r w:rsidR="00BB242F">
          <w:rPr>
            <w:noProof/>
            <w:webHidden/>
          </w:rPr>
          <w:fldChar w:fldCharType="begin"/>
        </w:r>
        <w:r w:rsidR="00BB242F">
          <w:rPr>
            <w:noProof/>
            <w:webHidden/>
          </w:rPr>
          <w:instrText xml:space="preserve"> PAGEREF _Toc51674407 \h </w:instrText>
        </w:r>
        <w:r w:rsidR="00BB242F">
          <w:rPr>
            <w:noProof/>
            <w:webHidden/>
          </w:rPr>
        </w:r>
        <w:r w:rsidR="00BB242F">
          <w:rPr>
            <w:noProof/>
            <w:webHidden/>
          </w:rPr>
          <w:fldChar w:fldCharType="separate"/>
        </w:r>
        <w:r w:rsidR="00BB242F">
          <w:rPr>
            <w:noProof/>
            <w:webHidden/>
          </w:rPr>
          <w:t>22</w:t>
        </w:r>
        <w:r w:rsidR="00BB242F">
          <w:rPr>
            <w:noProof/>
            <w:webHidden/>
          </w:rPr>
          <w:fldChar w:fldCharType="end"/>
        </w:r>
      </w:hyperlink>
    </w:p>
    <w:p w14:paraId="1AD33CE9" w14:textId="617637C3" w:rsidR="00BB242F" w:rsidRDefault="009901CB">
      <w:pPr>
        <w:pStyle w:val="TOC5"/>
        <w:rPr>
          <w:rFonts w:asciiTheme="minorHAnsi" w:eastAsiaTheme="minorEastAsia" w:hAnsiTheme="minorHAnsi" w:cstheme="minorBidi"/>
          <w:noProof/>
          <w:sz w:val="22"/>
          <w:szCs w:val="22"/>
        </w:rPr>
      </w:pPr>
      <w:hyperlink w:anchor="_Toc51674408" w:history="1">
        <w:r w:rsidR="00BB242F" w:rsidRPr="001E5232">
          <w:rPr>
            <w:rStyle w:val="Hyperlink"/>
            <w:noProof/>
          </w:rPr>
          <w:t>Summary and preliminary recommendations</w:t>
        </w:r>
        <w:r w:rsidR="00BB242F">
          <w:rPr>
            <w:noProof/>
            <w:webHidden/>
          </w:rPr>
          <w:tab/>
        </w:r>
        <w:r w:rsidR="00BB242F">
          <w:rPr>
            <w:noProof/>
            <w:webHidden/>
          </w:rPr>
          <w:fldChar w:fldCharType="begin"/>
        </w:r>
        <w:r w:rsidR="00BB242F">
          <w:rPr>
            <w:noProof/>
            <w:webHidden/>
          </w:rPr>
          <w:instrText xml:space="preserve"> PAGEREF _Toc51674408 \h </w:instrText>
        </w:r>
        <w:r w:rsidR="00BB242F">
          <w:rPr>
            <w:noProof/>
            <w:webHidden/>
          </w:rPr>
        </w:r>
        <w:r w:rsidR="00BB242F">
          <w:rPr>
            <w:noProof/>
            <w:webHidden/>
          </w:rPr>
          <w:fldChar w:fldCharType="separate"/>
        </w:r>
        <w:r w:rsidR="00BB242F">
          <w:rPr>
            <w:noProof/>
            <w:webHidden/>
          </w:rPr>
          <w:t>22</w:t>
        </w:r>
        <w:r w:rsidR="00BB242F">
          <w:rPr>
            <w:noProof/>
            <w:webHidden/>
          </w:rPr>
          <w:fldChar w:fldCharType="end"/>
        </w:r>
      </w:hyperlink>
    </w:p>
    <w:p w14:paraId="34D489BE" w14:textId="5C71FB1D" w:rsidR="00BB242F" w:rsidRDefault="009901CB">
      <w:pPr>
        <w:pStyle w:val="TOC4"/>
        <w:rPr>
          <w:rFonts w:asciiTheme="minorHAnsi" w:eastAsiaTheme="minorEastAsia" w:hAnsiTheme="minorHAnsi" w:cstheme="minorBidi"/>
          <w:noProof/>
          <w:sz w:val="22"/>
          <w:szCs w:val="22"/>
        </w:rPr>
      </w:pPr>
      <w:hyperlink w:anchor="_Toc51674409" w:history="1">
        <w:r w:rsidR="00BB242F" w:rsidRPr="001E5232">
          <w:rPr>
            <w:rStyle w:val="Hyperlink"/>
            <w:noProof/>
          </w:rPr>
          <w:t>Coal-fired electrical generation unit</w:t>
        </w:r>
        <w:r w:rsidR="00BB242F">
          <w:rPr>
            <w:noProof/>
            <w:webHidden/>
          </w:rPr>
          <w:tab/>
        </w:r>
        <w:r w:rsidR="00BB242F">
          <w:rPr>
            <w:noProof/>
            <w:webHidden/>
          </w:rPr>
          <w:fldChar w:fldCharType="begin"/>
        </w:r>
        <w:r w:rsidR="00BB242F">
          <w:rPr>
            <w:noProof/>
            <w:webHidden/>
          </w:rPr>
          <w:instrText xml:space="preserve"> PAGEREF _Toc51674409 \h </w:instrText>
        </w:r>
        <w:r w:rsidR="00BB242F">
          <w:rPr>
            <w:noProof/>
            <w:webHidden/>
          </w:rPr>
        </w:r>
        <w:r w:rsidR="00BB242F">
          <w:rPr>
            <w:noProof/>
            <w:webHidden/>
          </w:rPr>
          <w:fldChar w:fldCharType="separate"/>
        </w:r>
        <w:r w:rsidR="00BB242F">
          <w:rPr>
            <w:noProof/>
            <w:webHidden/>
          </w:rPr>
          <w:t>23</w:t>
        </w:r>
        <w:r w:rsidR="00BB242F">
          <w:rPr>
            <w:noProof/>
            <w:webHidden/>
          </w:rPr>
          <w:fldChar w:fldCharType="end"/>
        </w:r>
      </w:hyperlink>
    </w:p>
    <w:p w14:paraId="58B5025B" w14:textId="26357A58" w:rsidR="00BB242F" w:rsidRDefault="009901CB">
      <w:pPr>
        <w:pStyle w:val="TOC5"/>
        <w:rPr>
          <w:rFonts w:asciiTheme="minorHAnsi" w:eastAsiaTheme="minorEastAsia" w:hAnsiTheme="minorHAnsi" w:cstheme="minorBidi"/>
          <w:noProof/>
          <w:sz w:val="22"/>
          <w:szCs w:val="22"/>
        </w:rPr>
      </w:pPr>
      <w:hyperlink w:anchor="_Toc51674410" w:history="1">
        <w:r w:rsidR="00BB242F" w:rsidRPr="001E5232">
          <w:rPr>
            <w:rStyle w:val="Hyperlink"/>
            <w:noProof/>
          </w:rPr>
          <w:t>Four factor analysis</w:t>
        </w:r>
        <w:r w:rsidR="00BB242F">
          <w:rPr>
            <w:noProof/>
            <w:webHidden/>
          </w:rPr>
          <w:tab/>
        </w:r>
        <w:r w:rsidR="00BB242F">
          <w:rPr>
            <w:noProof/>
            <w:webHidden/>
          </w:rPr>
          <w:fldChar w:fldCharType="begin"/>
        </w:r>
        <w:r w:rsidR="00BB242F">
          <w:rPr>
            <w:noProof/>
            <w:webHidden/>
          </w:rPr>
          <w:instrText xml:space="preserve"> PAGEREF _Toc51674410 \h </w:instrText>
        </w:r>
        <w:r w:rsidR="00BB242F">
          <w:rPr>
            <w:noProof/>
            <w:webHidden/>
          </w:rPr>
        </w:r>
        <w:r w:rsidR="00BB242F">
          <w:rPr>
            <w:noProof/>
            <w:webHidden/>
          </w:rPr>
          <w:fldChar w:fldCharType="separate"/>
        </w:r>
        <w:r w:rsidR="00BB242F">
          <w:rPr>
            <w:noProof/>
            <w:webHidden/>
          </w:rPr>
          <w:t>24</w:t>
        </w:r>
        <w:r w:rsidR="00BB242F">
          <w:rPr>
            <w:noProof/>
            <w:webHidden/>
          </w:rPr>
          <w:fldChar w:fldCharType="end"/>
        </w:r>
      </w:hyperlink>
    </w:p>
    <w:p w14:paraId="33285013" w14:textId="7F953DAD" w:rsidR="00BB242F" w:rsidRDefault="009901CB">
      <w:pPr>
        <w:pStyle w:val="TOC5"/>
        <w:rPr>
          <w:rFonts w:asciiTheme="minorHAnsi" w:eastAsiaTheme="minorEastAsia" w:hAnsiTheme="minorHAnsi" w:cstheme="minorBidi"/>
          <w:noProof/>
          <w:sz w:val="22"/>
          <w:szCs w:val="22"/>
        </w:rPr>
      </w:pPr>
      <w:hyperlink w:anchor="_Toc51674411" w:history="1">
        <w:r w:rsidR="00BB242F" w:rsidRPr="001E5232">
          <w:rPr>
            <w:rStyle w:val="Hyperlink"/>
            <w:noProof/>
          </w:rPr>
          <w:t>Summary and preliminary recommendations</w:t>
        </w:r>
        <w:r w:rsidR="00BB242F">
          <w:rPr>
            <w:noProof/>
            <w:webHidden/>
          </w:rPr>
          <w:tab/>
        </w:r>
        <w:r w:rsidR="00BB242F">
          <w:rPr>
            <w:noProof/>
            <w:webHidden/>
          </w:rPr>
          <w:fldChar w:fldCharType="begin"/>
        </w:r>
        <w:r w:rsidR="00BB242F">
          <w:rPr>
            <w:noProof/>
            <w:webHidden/>
          </w:rPr>
          <w:instrText xml:space="preserve"> PAGEREF _Toc51674411 \h </w:instrText>
        </w:r>
        <w:r w:rsidR="00BB242F">
          <w:rPr>
            <w:noProof/>
            <w:webHidden/>
          </w:rPr>
        </w:r>
        <w:r w:rsidR="00BB242F">
          <w:rPr>
            <w:noProof/>
            <w:webHidden/>
          </w:rPr>
          <w:fldChar w:fldCharType="separate"/>
        </w:r>
        <w:r w:rsidR="00BB242F">
          <w:rPr>
            <w:noProof/>
            <w:webHidden/>
          </w:rPr>
          <w:t>25</w:t>
        </w:r>
        <w:r w:rsidR="00BB242F">
          <w:rPr>
            <w:noProof/>
            <w:webHidden/>
          </w:rPr>
          <w:fldChar w:fldCharType="end"/>
        </w:r>
      </w:hyperlink>
    </w:p>
    <w:p w14:paraId="2C94BBC6" w14:textId="41AB86D1" w:rsidR="00BB242F" w:rsidRDefault="009901CB">
      <w:pPr>
        <w:pStyle w:val="TOC4"/>
        <w:rPr>
          <w:rFonts w:asciiTheme="minorHAnsi" w:eastAsiaTheme="minorEastAsia" w:hAnsiTheme="minorHAnsi" w:cstheme="minorBidi"/>
          <w:noProof/>
          <w:sz w:val="22"/>
          <w:szCs w:val="22"/>
        </w:rPr>
      </w:pPr>
      <w:hyperlink w:anchor="_Toc51674412" w:history="1">
        <w:r w:rsidR="00BB242F" w:rsidRPr="001E5232">
          <w:rPr>
            <w:rStyle w:val="Hyperlink"/>
            <w:noProof/>
          </w:rPr>
          <w:t>Primary aluminum production</w:t>
        </w:r>
        <w:r w:rsidR="00BB242F">
          <w:rPr>
            <w:noProof/>
            <w:webHidden/>
          </w:rPr>
          <w:tab/>
        </w:r>
        <w:r w:rsidR="00BB242F">
          <w:rPr>
            <w:noProof/>
            <w:webHidden/>
          </w:rPr>
          <w:fldChar w:fldCharType="begin"/>
        </w:r>
        <w:r w:rsidR="00BB242F">
          <w:rPr>
            <w:noProof/>
            <w:webHidden/>
          </w:rPr>
          <w:instrText xml:space="preserve"> PAGEREF _Toc51674412 \h </w:instrText>
        </w:r>
        <w:r w:rsidR="00BB242F">
          <w:rPr>
            <w:noProof/>
            <w:webHidden/>
          </w:rPr>
        </w:r>
        <w:r w:rsidR="00BB242F">
          <w:rPr>
            <w:noProof/>
            <w:webHidden/>
          </w:rPr>
          <w:fldChar w:fldCharType="separate"/>
        </w:r>
        <w:r w:rsidR="00BB242F">
          <w:rPr>
            <w:noProof/>
            <w:webHidden/>
          </w:rPr>
          <w:t>25</w:t>
        </w:r>
        <w:r w:rsidR="00BB242F">
          <w:rPr>
            <w:noProof/>
            <w:webHidden/>
          </w:rPr>
          <w:fldChar w:fldCharType="end"/>
        </w:r>
      </w:hyperlink>
    </w:p>
    <w:p w14:paraId="60F470B9" w14:textId="4C5775BD" w:rsidR="00BB242F" w:rsidRDefault="009901CB">
      <w:pPr>
        <w:pStyle w:val="TOC5"/>
        <w:rPr>
          <w:rFonts w:asciiTheme="minorHAnsi" w:eastAsiaTheme="minorEastAsia" w:hAnsiTheme="minorHAnsi" w:cstheme="minorBidi"/>
          <w:noProof/>
          <w:sz w:val="22"/>
          <w:szCs w:val="22"/>
        </w:rPr>
      </w:pPr>
      <w:hyperlink w:anchor="_Toc51674413" w:history="1">
        <w:r w:rsidR="00BB242F" w:rsidRPr="001E5232">
          <w:rPr>
            <w:rStyle w:val="Hyperlink"/>
            <w:noProof/>
          </w:rPr>
          <w:t>Alcoa Wenatchee Works</w:t>
        </w:r>
        <w:r w:rsidR="00BB242F">
          <w:rPr>
            <w:noProof/>
            <w:webHidden/>
          </w:rPr>
          <w:tab/>
        </w:r>
        <w:r w:rsidR="00BB242F">
          <w:rPr>
            <w:noProof/>
            <w:webHidden/>
          </w:rPr>
          <w:fldChar w:fldCharType="begin"/>
        </w:r>
        <w:r w:rsidR="00BB242F">
          <w:rPr>
            <w:noProof/>
            <w:webHidden/>
          </w:rPr>
          <w:instrText xml:space="preserve"> PAGEREF _Toc51674413 \h </w:instrText>
        </w:r>
        <w:r w:rsidR="00BB242F">
          <w:rPr>
            <w:noProof/>
            <w:webHidden/>
          </w:rPr>
        </w:r>
        <w:r w:rsidR="00BB242F">
          <w:rPr>
            <w:noProof/>
            <w:webHidden/>
          </w:rPr>
          <w:fldChar w:fldCharType="separate"/>
        </w:r>
        <w:r w:rsidR="00BB242F">
          <w:rPr>
            <w:noProof/>
            <w:webHidden/>
          </w:rPr>
          <w:t>25</w:t>
        </w:r>
        <w:r w:rsidR="00BB242F">
          <w:rPr>
            <w:noProof/>
            <w:webHidden/>
          </w:rPr>
          <w:fldChar w:fldCharType="end"/>
        </w:r>
      </w:hyperlink>
    </w:p>
    <w:p w14:paraId="1C954239" w14:textId="0C4C5847" w:rsidR="00BB242F" w:rsidRDefault="009901CB">
      <w:pPr>
        <w:pStyle w:val="TOC5"/>
        <w:rPr>
          <w:rFonts w:asciiTheme="minorHAnsi" w:eastAsiaTheme="minorEastAsia" w:hAnsiTheme="minorHAnsi" w:cstheme="minorBidi"/>
          <w:noProof/>
          <w:sz w:val="22"/>
          <w:szCs w:val="22"/>
        </w:rPr>
      </w:pPr>
      <w:hyperlink w:anchor="_Toc51674414" w:history="1">
        <w:r w:rsidR="00BB242F" w:rsidRPr="001E5232">
          <w:rPr>
            <w:rStyle w:val="Hyperlink"/>
            <w:noProof/>
          </w:rPr>
          <w:t>Summary and preliminary recommendations</w:t>
        </w:r>
        <w:r w:rsidR="00BB242F">
          <w:rPr>
            <w:noProof/>
            <w:webHidden/>
          </w:rPr>
          <w:tab/>
        </w:r>
        <w:r w:rsidR="00BB242F">
          <w:rPr>
            <w:noProof/>
            <w:webHidden/>
          </w:rPr>
          <w:fldChar w:fldCharType="begin"/>
        </w:r>
        <w:r w:rsidR="00BB242F">
          <w:rPr>
            <w:noProof/>
            <w:webHidden/>
          </w:rPr>
          <w:instrText xml:space="preserve"> PAGEREF _Toc51674414 \h </w:instrText>
        </w:r>
        <w:r w:rsidR="00BB242F">
          <w:rPr>
            <w:noProof/>
            <w:webHidden/>
          </w:rPr>
        </w:r>
        <w:r w:rsidR="00BB242F">
          <w:rPr>
            <w:noProof/>
            <w:webHidden/>
          </w:rPr>
          <w:fldChar w:fldCharType="separate"/>
        </w:r>
        <w:r w:rsidR="00BB242F">
          <w:rPr>
            <w:noProof/>
            <w:webHidden/>
          </w:rPr>
          <w:t>27</w:t>
        </w:r>
        <w:r w:rsidR="00BB242F">
          <w:rPr>
            <w:noProof/>
            <w:webHidden/>
          </w:rPr>
          <w:fldChar w:fldCharType="end"/>
        </w:r>
      </w:hyperlink>
    </w:p>
    <w:p w14:paraId="251A5675" w14:textId="1A444769" w:rsidR="00BB242F" w:rsidRDefault="009901CB">
      <w:pPr>
        <w:pStyle w:val="TOC5"/>
        <w:rPr>
          <w:rFonts w:asciiTheme="minorHAnsi" w:eastAsiaTheme="minorEastAsia" w:hAnsiTheme="minorHAnsi" w:cstheme="minorBidi"/>
          <w:noProof/>
          <w:sz w:val="22"/>
          <w:szCs w:val="22"/>
        </w:rPr>
      </w:pPr>
      <w:hyperlink w:anchor="_Toc51674415" w:history="1">
        <w:r w:rsidR="00BB242F" w:rsidRPr="001E5232">
          <w:rPr>
            <w:rStyle w:val="Hyperlink"/>
            <w:noProof/>
          </w:rPr>
          <w:t>Alcoa Intalco</w:t>
        </w:r>
        <w:r w:rsidR="00BB242F">
          <w:rPr>
            <w:noProof/>
            <w:webHidden/>
          </w:rPr>
          <w:tab/>
        </w:r>
        <w:r w:rsidR="00BB242F">
          <w:rPr>
            <w:noProof/>
            <w:webHidden/>
          </w:rPr>
          <w:fldChar w:fldCharType="begin"/>
        </w:r>
        <w:r w:rsidR="00BB242F">
          <w:rPr>
            <w:noProof/>
            <w:webHidden/>
          </w:rPr>
          <w:instrText xml:space="preserve"> PAGEREF _Toc51674415 \h </w:instrText>
        </w:r>
        <w:r w:rsidR="00BB242F">
          <w:rPr>
            <w:noProof/>
            <w:webHidden/>
          </w:rPr>
        </w:r>
        <w:r w:rsidR="00BB242F">
          <w:rPr>
            <w:noProof/>
            <w:webHidden/>
          </w:rPr>
          <w:fldChar w:fldCharType="separate"/>
        </w:r>
        <w:r w:rsidR="00BB242F">
          <w:rPr>
            <w:noProof/>
            <w:webHidden/>
          </w:rPr>
          <w:t>27</w:t>
        </w:r>
        <w:r w:rsidR="00BB242F">
          <w:rPr>
            <w:noProof/>
            <w:webHidden/>
          </w:rPr>
          <w:fldChar w:fldCharType="end"/>
        </w:r>
      </w:hyperlink>
    </w:p>
    <w:p w14:paraId="7E73807F" w14:textId="1C11593E" w:rsidR="00BB242F" w:rsidRDefault="009901CB">
      <w:pPr>
        <w:pStyle w:val="TOC5"/>
        <w:rPr>
          <w:rFonts w:asciiTheme="minorHAnsi" w:eastAsiaTheme="minorEastAsia" w:hAnsiTheme="minorHAnsi" w:cstheme="minorBidi"/>
          <w:noProof/>
          <w:sz w:val="22"/>
          <w:szCs w:val="22"/>
        </w:rPr>
      </w:pPr>
      <w:hyperlink w:anchor="_Toc51674416" w:history="1">
        <w:r w:rsidR="00BB242F" w:rsidRPr="001E5232">
          <w:rPr>
            <w:rStyle w:val="Hyperlink"/>
            <w:noProof/>
          </w:rPr>
          <w:t>Summary and preliminary recommendations</w:t>
        </w:r>
        <w:r w:rsidR="00BB242F">
          <w:rPr>
            <w:noProof/>
            <w:webHidden/>
          </w:rPr>
          <w:tab/>
        </w:r>
        <w:r w:rsidR="00BB242F">
          <w:rPr>
            <w:noProof/>
            <w:webHidden/>
          </w:rPr>
          <w:fldChar w:fldCharType="begin"/>
        </w:r>
        <w:r w:rsidR="00BB242F">
          <w:rPr>
            <w:noProof/>
            <w:webHidden/>
          </w:rPr>
          <w:instrText xml:space="preserve"> PAGEREF _Toc51674416 \h </w:instrText>
        </w:r>
        <w:r w:rsidR="00BB242F">
          <w:rPr>
            <w:noProof/>
            <w:webHidden/>
          </w:rPr>
        </w:r>
        <w:r w:rsidR="00BB242F">
          <w:rPr>
            <w:noProof/>
            <w:webHidden/>
          </w:rPr>
          <w:fldChar w:fldCharType="separate"/>
        </w:r>
        <w:r w:rsidR="00BB242F">
          <w:rPr>
            <w:noProof/>
            <w:webHidden/>
          </w:rPr>
          <w:t>29</w:t>
        </w:r>
        <w:r w:rsidR="00BB242F">
          <w:rPr>
            <w:noProof/>
            <w:webHidden/>
          </w:rPr>
          <w:fldChar w:fldCharType="end"/>
        </w:r>
      </w:hyperlink>
    </w:p>
    <w:p w14:paraId="3015789B" w14:textId="321FD65B" w:rsidR="00BB242F" w:rsidRDefault="009901CB">
      <w:pPr>
        <w:pStyle w:val="TOC3"/>
        <w:rPr>
          <w:rFonts w:asciiTheme="minorHAnsi" w:eastAsiaTheme="minorEastAsia" w:hAnsiTheme="minorHAnsi" w:cstheme="minorBidi"/>
          <w:noProof/>
          <w:sz w:val="22"/>
          <w:szCs w:val="22"/>
        </w:rPr>
      </w:pPr>
      <w:hyperlink w:anchor="_Toc51674417" w:history="1">
        <w:r w:rsidR="00BB242F" w:rsidRPr="001E5232">
          <w:rPr>
            <w:rStyle w:val="Hyperlink"/>
            <w:noProof/>
            <w:shd w:val="clear" w:color="auto" w:fill="FFFFFF"/>
          </w:rPr>
          <w:t>Chemical Pulp &amp; Paper Mill FFA recommendations</w:t>
        </w:r>
        <w:r w:rsidR="00BB242F">
          <w:rPr>
            <w:noProof/>
            <w:webHidden/>
          </w:rPr>
          <w:tab/>
        </w:r>
        <w:r w:rsidR="00BB242F">
          <w:rPr>
            <w:noProof/>
            <w:webHidden/>
          </w:rPr>
          <w:fldChar w:fldCharType="begin"/>
        </w:r>
        <w:r w:rsidR="00BB242F">
          <w:rPr>
            <w:noProof/>
            <w:webHidden/>
          </w:rPr>
          <w:instrText xml:space="preserve"> PAGEREF _Toc51674417 \h </w:instrText>
        </w:r>
        <w:r w:rsidR="00BB242F">
          <w:rPr>
            <w:noProof/>
            <w:webHidden/>
          </w:rPr>
        </w:r>
        <w:r w:rsidR="00BB242F">
          <w:rPr>
            <w:noProof/>
            <w:webHidden/>
          </w:rPr>
          <w:fldChar w:fldCharType="separate"/>
        </w:r>
        <w:r w:rsidR="00BB242F">
          <w:rPr>
            <w:noProof/>
            <w:webHidden/>
          </w:rPr>
          <w:t>30</w:t>
        </w:r>
        <w:r w:rsidR="00BB242F">
          <w:rPr>
            <w:noProof/>
            <w:webHidden/>
          </w:rPr>
          <w:fldChar w:fldCharType="end"/>
        </w:r>
      </w:hyperlink>
    </w:p>
    <w:p w14:paraId="42C09E83" w14:textId="45252312" w:rsidR="00BB242F" w:rsidRDefault="009901CB">
      <w:pPr>
        <w:pStyle w:val="TOC4"/>
        <w:rPr>
          <w:rFonts w:asciiTheme="minorHAnsi" w:eastAsiaTheme="minorEastAsia" w:hAnsiTheme="minorHAnsi" w:cstheme="minorBidi"/>
          <w:noProof/>
          <w:sz w:val="22"/>
          <w:szCs w:val="22"/>
        </w:rPr>
      </w:pPr>
      <w:hyperlink w:anchor="_Toc51674418" w:history="1">
        <w:r w:rsidR="00BB242F" w:rsidRPr="001E5232">
          <w:rPr>
            <w:rStyle w:val="Hyperlink"/>
            <w:noProof/>
            <w:shd w:val="clear" w:color="auto" w:fill="FFFFFF"/>
          </w:rPr>
          <w:t>Initial review</w:t>
        </w:r>
        <w:r w:rsidR="00BB242F">
          <w:rPr>
            <w:noProof/>
            <w:webHidden/>
          </w:rPr>
          <w:tab/>
        </w:r>
        <w:r w:rsidR="00BB242F">
          <w:rPr>
            <w:noProof/>
            <w:webHidden/>
          </w:rPr>
          <w:fldChar w:fldCharType="begin"/>
        </w:r>
        <w:r w:rsidR="00BB242F">
          <w:rPr>
            <w:noProof/>
            <w:webHidden/>
          </w:rPr>
          <w:instrText xml:space="preserve"> PAGEREF _Toc51674418 \h </w:instrText>
        </w:r>
        <w:r w:rsidR="00BB242F">
          <w:rPr>
            <w:noProof/>
            <w:webHidden/>
          </w:rPr>
        </w:r>
        <w:r w:rsidR="00BB242F">
          <w:rPr>
            <w:noProof/>
            <w:webHidden/>
          </w:rPr>
          <w:fldChar w:fldCharType="separate"/>
        </w:r>
        <w:r w:rsidR="00BB242F">
          <w:rPr>
            <w:noProof/>
            <w:webHidden/>
          </w:rPr>
          <w:t>30</w:t>
        </w:r>
        <w:r w:rsidR="00BB242F">
          <w:rPr>
            <w:noProof/>
            <w:webHidden/>
          </w:rPr>
          <w:fldChar w:fldCharType="end"/>
        </w:r>
      </w:hyperlink>
    </w:p>
    <w:p w14:paraId="728DD703" w14:textId="1BFC5369" w:rsidR="00BB242F" w:rsidRDefault="009901CB">
      <w:pPr>
        <w:pStyle w:val="TOC4"/>
        <w:rPr>
          <w:rFonts w:asciiTheme="minorHAnsi" w:eastAsiaTheme="minorEastAsia" w:hAnsiTheme="minorHAnsi" w:cstheme="minorBidi"/>
          <w:noProof/>
          <w:sz w:val="22"/>
          <w:szCs w:val="22"/>
        </w:rPr>
      </w:pPr>
      <w:hyperlink w:anchor="_Toc51674419" w:history="1">
        <w:r w:rsidR="00BB242F" w:rsidRPr="001E5232">
          <w:rPr>
            <w:rStyle w:val="Hyperlink"/>
            <w:noProof/>
            <w:shd w:val="clear" w:color="auto" w:fill="FFFFFF"/>
          </w:rPr>
          <w:t>RACT and BACT concepts</w:t>
        </w:r>
        <w:r w:rsidR="00BB242F">
          <w:rPr>
            <w:noProof/>
            <w:webHidden/>
          </w:rPr>
          <w:tab/>
        </w:r>
        <w:r w:rsidR="00BB242F">
          <w:rPr>
            <w:noProof/>
            <w:webHidden/>
          </w:rPr>
          <w:fldChar w:fldCharType="begin"/>
        </w:r>
        <w:r w:rsidR="00BB242F">
          <w:rPr>
            <w:noProof/>
            <w:webHidden/>
          </w:rPr>
          <w:instrText xml:space="preserve"> PAGEREF _Toc51674419 \h </w:instrText>
        </w:r>
        <w:r w:rsidR="00BB242F">
          <w:rPr>
            <w:noProof/>
            <w:webHidden/>
          </w:rPr>
        </w:r>
        <w:r w:rsidR="00BB242F">
          <w:rPr>
            <w:noProof/>
            <w:webHidden/>
          </w:rPr>
          <w:fldChar w:fldCharType="separate"/>
        </w:r>
        <w:r w:rsidR="00BB242F">
          <w:rPr>
            <w:noProof/>
            <w:webHidden/>
          </w:rPr>
          <w:t>30</w:t>
        </w:r>
        <w:r w:rsidR="00BB242F">
          <w:rPr>
            <w:noProof/>
            <w:webHidden/>
          </w:rPr>
          <w:fldChar w:fldCharType="end"/>
        </w:r>
      </w:hyperlink>
    </w:p>
    <w:p w14:paraId="467E7C9C" w14:textId="71905C2B" w:rsidR="00BB242F" w:rsidRDefault="009901CB">
      <w:pPr>
        <w:pStyle w:val="TOC5"/>
        <w:rPr>
          <w:rFonts w:asciiTheme="minorHAnsi" w:eastAsiaTheme="minorEastAsia" w:hAnsiTheme="minorHAnsi" w:cstheme="minorBidi"/>
          <w:noProof/>
          <w:sz w:val="22"/>
          <w:szCs w:val="22"/>
        </w:rPr>
      </w:pPr>
      <w:hyperlink w:anchor="_Toc51674420" w:history="1">
        <w:r w:rsidR="00BB242F" w:rsidRPr="001E5232">
          <w:rPr>
            <w:rStyle w:val="Hyperlink"/>
            <w:noProof/>
            <w:shd w:val="clear" w:color="auto" w:fill="FFFFFF"/>
          </w:rPr>
          <w:t>Principles of cost considerations from a BACT-level approach and other incurred costs</w:t>
        </w:r>
        <w:r w:rsidR="00BB242F">
          <w:rPr>
            <w:noProof/>
            <w:webHidden/>
          </w:rPr>
          <w:tab/>
        </w:r>
        <w:r w:rsidR="00BB242F">
          <w:rPr>
            <w:noProof/>
            <w:webHidden/>
          </w:rPr>
          <w:fldChar w:fldCharType="begin"/>
        </w:r>
        <w:r w:rsidR="00BB242F">
          <w:rPr>
            <w:noProof/>
            <w:webHidden/>
          </w:rPr>
          <w:instrText xml:space="preserve"> PAGEREF _Toc51674420 \h </w:instrText>
        </w:r>
        <w:r w:rsidR="00BB242F">
          <w:rPr>
            <w:noProof/>
            <w:webHidden/>
          </w:rPr>
        </w:r>
        <w:r w:rsidR="00BB242F">
          <w:rPr>
            <w:noProof/>
            <w:webHidden/>
          </w:rPr>
          <w:fldChar w:fldCharType="separate"/>
        </w:r>
        <w:r w:rsidR="00BB242F">
          <w:rPr>
            <w:noProof/>
            <w:webHidden/>
          </w:rPr>
          <w:t>31</w:t>
        </w:r>
        <w:r w:rsidR="00BB242F">
          <w:rPr>
            <w:noProof/>
            <w:webHidden/>
          </w:rPr>
          <w:fldChar w:fldCharType="end"/>
        </w:r>
      </w:hyperlink>
    </w:p>
    <w:p w14:paraId="7D7F4383" w14:textId="3391A83F" w:rsidR="00BB242F" w:rsidRDefault="009901CB">
      <w:pPr>
        <w:pStyle w:val="TOC5"/>
        <w:rPr>
          <w:rFonts w:asciiTheme="minorHAnsi" w:eastAsiaTheme="minorEastAsia" w:hAnsiTheme="minorHAnsi" w:cstheme="minorBidi"/>
          <w:noProof/>
          <w:sz w:val="22"/>
          <w:szCs w:val="22"/>
        </w:rPr>
      </w:pPr>
      <w:hyperlink w:anchor="_Toc51674421" w:history="1">
        <w:r w:rsidR="00BB242F" w:rsidRPr="001E5232">
          <w:rPr>
            <w:rStyle w:val="Hyperlink"/>
            <w:noProof/>
            <w:shd w:val="clear" w:color="auto" w:fill="FFFFFF"/>
          </w:rPr>
          <w:t>Using a BACT-level cost approach and other costs incurred to arrive at RACT thresholds</w:t>
        </w:r>
        <w:r w:rsidR="00BB242F">
          <w:rPr>
            <w:noProof/>
            <w:webHidden/>
          </w:rPr>
          <w:tab/>
        </w:r>
        <w:r w:rsidR="00BB242F">
          <w:rPr>
            <w:noProof/>
            <w:webHidden/>
          </w:rPr>
          <w:fldChar w:fldCharType="begin"/>
        </w:r>
        <w:r w:rsidR="00BB242F">
          <w:rPr>
            <w:noProof/>
            <w:webHidden/>
          </w:rPr>
          <w:instrText xml:space="preserve"> PAGEREF _Toc51674421 \h </w:instrText>
        </w:r>
        <w:r w:rsidR="00BB242F">
          <w:rPr>
            <w:noProof/>
            <w:webHidden/>
          </w:rPr>
        </w:r>
        <w:r w:rsidR="00BB242F">
          <w:rPr>
            <w:noProof/>
            <w:webHidden/>
          </w:rPr>
          <w:fldChar w:fldCharType="separate"/>
        </w:r>
        <w:r w:rsidR="00BB242F">
          <w:rPr>
            <w:noProof/>
            <w:webHidden/>
          </w:rPr>
          <w:t>32</w:t>
        </w:r>
        <w:r w:rsidR="00BB242F">
          <w:rPr>
            <w:noProof/>
            <w:webHidden/>
          </w:rPr>
          <w:fldChar w:fldCharType="end"/>
        </w:r>
      </w:hyperlink>
    </w:p>
    <w:p w14:paraId="164DE670" w14:textId="5371E30E" w:rsidR="00BB242F" w:rsidRDefault="009901CB">
      <w:pPr>
        <w:pStyle w:val="TOC5"/>
        <w:rPr>
          <w:rFonts w:asciiTheme="minorHAnsi" w:eastAsiaTheme="minorEastAsia" w:hAnsiTheme="minorHAnsi" w:cstheme="minorBidi"/>
          <w:noProof/>
          <w:sz w:val="22"/>
          <w:szCs w:val="22"/>
        </w:rPr>
      </w:pPr>
      <w:hyperlink w:anchor="_Toc51674422" w:history="1">
        <w:r w:rsidR="00BB242F" w:rsidRPr="001E5232">
          <w:rPr>
            <w:rStyle w:val="Hyperlink"/>
            <w:noProof/>
            <w:shd w:val="clear" w:color="auto" w:fill="FFFFFF"/>
          </w:rPr>
          <w:t>Potential RACT thresholds applied to current chemical pulp mill units</w:t>
        </w:r>
        <w:r w:rsidR="00BB242F">
          <w:rPr>
            <w:noProof/>
            <w:webHidden/>
          </w:rPr>
          <w:tab/>
        </w:r>
        <w:r w:rsidR="00BB242F">
          <w:rPr>
            <w:noProof/>
            <w:webHidden/>
          </w:rPr>
          <w:fldChar w:fldCharType="begin"/>
        </w:r>
        <w:r w:rsidR="00BB242F">
          <w:rPr>
            <w:noProof/>
            <w:webHidden/>
          </w:rPr>
          <w:instrText xml:space="preserve"> PAGEREF _Toc51674422 \h </w:instrText>
        </w:r>
        <w:r w:rsidR="00BB242F">
          <w:rPr>
            <w:noProof/>
            <w:webHidden/>
          </w:rPr>
        </w:r>
        <w:r w:rsidR="00BB242F">
          <w:rPr>
            <w:noProof/>
            <w:webHidden/>
          </w:rPr>
          <w:fldChar w:fldCharType="separate"/>
        </w:r>
        <w:r w:rsidR="00BB242F">
          <w:rPr>
            <w:noProof/>
            <w:webHidden/>
          </w:rPr>
          <w:t>33</w:t>
        </w:r>
        <w:r w:rsidR="00BB242F">
          <w:rPr>
            <w:noProof/>
            <w:webHidden/>
          </w:rPr>
          <w:fldChar w:fldCharType="end"/>
        </w:r>
      </w:hyperlink>
    </w:p>
    <w:p w14:paraId="458E1541" w14:textId="7C0B925B" w:rsidR="00BB242F" w:rsidRDefault="009901CB">
      <w:pPr>
        <w:pStyle w:val="TOC5"/>
        <w:rPr>
          <w:rFonts w:asciiTheme="minorHAnsi" w:eastAsiaTheme="minorEastAsia" w:hAnsiTheme="minorHAnsi" w:cstheme="minorBidi"/>
          <w:noProof/>
          <w:sz w:val="22"/>
          <w:szCs w:val="22"/>
        </w:rPr>
      </w:pPr>
      <w:hyperlink w:anchor="_Toc51674423" w:history="1">
        <w:r w:rsidR="00BB242F" w:rsidRPr="001E5232">
          <w:rPr>
            <w:rStyle w:val="Hyperlink"/>
            <w:noProof/>
            <w:shd w:val="clear" w:color="auto" w:fill="FFFFFF"/>
          </w:rPr>
          <w:t>Intermediate review</w:t>
        </w:r>
        <w:r w:rsidR="00BB242F">
          <w:rPr>
            <w:noProof/>
            <w:webHidden/>
          </w:rPr>
          <w:tab/>
        </w:r>
        <w:r w:rsidR="00BB242F">
          <w:rPr>
            <w:noProof/>
            <w:webHidden/>
          </w:rPr>
          <w:fldChar w:fldCharType="begin"/>
        </w:r>
        <w:r w:rsidR="00BB242F">
          <w:rPr>
            <w:noProof/>
            <w:webHidden/>
          </w:rPr>
          <w:instrText xml:space="preserve"> PAGEREF _Toc51674423 \h </w:instrText>
        </w:r>
        <w:r w:rsidR="00BB242F">
          <w:rPr>
            <w:noProof/>
            <w:webHidden/>
          </w:rPr>
        </w:r>
        <w:r w:rsidR="00BB242F">
          <w:rPr>
            <w:noProof/>
            <w:webHidden/>
          </w:rPr>
          <w:fldChar w:fldCharType="separate"/>
        </w:r>
        <w:r w:rsidR="00BB242F">
          <w:rPr>
            <w:noProof/>
            <w:webHidden/>
          </w:rPr>
          <w:t>34</w:t>
        </w:r>
        <w:r w:rsidR="00BB242F">
          <w:rPr>
            <w:noProof/>
            <w:webHidden/>
          </w:rPr>
          <w:fldChar w:fldCharType="end"/>
        </w:r>
      </w:hyperlink>
    </w:p>
    <w:p w14:paraId="76D22BC9" w14:textId="2E86893A" w:rsidR="00BB242F" w:rsidRDefault="009901CB">
      <w:pPr>
        <w:pStyle w:val="TOC4"/>
        <w:rPr>
          <w:rFonts w:asciiTheme="minorHAnsi" w:eastAsiaTheme="minorEastAsia" w:hAnsiTheme="minorHAnsi" w:cstheme="minorBidi"/>
          <w:noProof/>
          <w:sz w:val="22"/>
          <w:szCs w:val="22"/>
        </w:rPr>
      </w:pPr>
      <w:hyperlink w:anchor="_Toc51674424" w:history="1">
        <w:r w:rsidR="00BB242F" w:rsidRPr="001E5232">
          <w:rPr>
            <w:rStyle w:val="Hyperlink"/>
            <w:noProof/>
            <w:shd w:val="clear" w:color="auto" w:fill="FFFFFF"/>
          </w:rPr>
          <w:t>Discussion</w:t>
        </w:r>
        <w:r w:rsidR="00BB242F">
          <w:rPr>
            <w:noProof/>
            <w:webHidden/>
          </w:rPr>
          <w:tab/>
        </w:r>
        <w:r w:rsidR="00BB242F">
          <w:rPr>
            <w:noProof/>
            <w:webHidden/>
          </w:rPr>
          <w:fldChar w:fldCharType="begin"/>
        </w:r>
        <w:r w:rsidR="00BB242F">
          <w:rPr>
            <w:noProof/>
            <w:webHidden/>
          </w:rPr>
          <w:instrText xml:space="preserve"> PAGEREF _Toc51674424 \h </w:instrText>
        </w:r>
        <w:r w:rsidR="00BB242F">
          <w:rPr>
            <w:noProof/>
            <w:webHidden/>
          </w:rPr>
        </w:r>
        <w:r w:rsidR="00BB242F">
          <w:rPr>
            <w:noProof/>
            <w:webHidden/>
          </w:rPr>
          <w:fldChar w:fldCharType="separate"/>
        </w:r>
        <w:r w:rsidR="00BB242F">
          <w:rPr>
            <w:noProof/>
            <w:webHidden/>
          </w:rPr>
          <w:t>37</w:t>
        </w:r>
        <w:r w:rsidR="00BB242F">
          <w:rPr>
            <w:noProof/>
            <w:webHidden/>
          </w:rPr>
          <w:fldChar w:fldCharType="end"/>
        </w:r>
      </w:hyperlink>
    </w:p>
    <w:p w14:paraId="77E6C1AA" w14:textId="0C245E88" w:rsidR="00BB242F" w:rsidRDefault="009901CB">
      <w:pPr>
        <w:pStyle w:val="TOC5"/>
        <w:rPr>
          <w:rFonts w:asciiTheme="minorHAnsi" w:eastAsiaTheme="minorEastAsia" w:hAnsiTheme="minorHAnsi" w:cstheme="minorBidi"/>
          <w:noProof/>
          <w:sz w:val="22"/>
          <w:szCs w:val="22"/>
        </w:rPr>
      </w:pPr>
      <w:hyperlink w:anchor="_Toc51674425" w:history="1">
        <w:r w:rsidR="00BB242F" w:rsidRPr="001E5232">
          <w:rPr>
            <w:rStyle w:val="Hyperlink"/>
            <w:noProof/>
            <w:shd w:val="clear" w:color="auto" w:fill="FFFFFF"/>
          </w:rPr>
          <w:t>First option</w:t>
        </w:r>
        <w:r w:rsidR="00BB242F">
          <w:rPr>
            <w:noProof/>
            <w:webHidden/>
          </w:rPr>
          <w:tab/>
        </w:r>
        <w:r w:rsidR="00BB242F">
          <w:rPr>
            <w:noProof/>
            <w:webHidden/>
          </w:rPr>
          <w:fldChar w:fldCharType="begin"/>
        </w:r>
        <w:r w:rsidR="00BB242F">
          <w:rPr>
            <w:noProof/>
            <w:webHidden/>
          </w:rPr>
          <w:instrText xml:space="preserve"> PAGEREF _Toc51674425 \h </w:instrText>
        </w:r>
        <w:r w:rsidR="00BB242F">
          <w:rPr>
            <w:noProof/>
            <w:webHidden/>
          </w:rPr>
        </w:r>
        <w:r w:rsidR="00BB242F">
          <w:rPr>
            <w:noProof/>
            <w:webHidden/>
          </w:rPr>
          <w:fldChar w:fldCharType="separate"/>
        </w:r>
        <w:r w:rsidR="00BB242F">
          <w:rPr>
            <w:noProof/>
            <w:webHidden/>
          </w:rPr>
          <w:t>37</w:t>
        </w:r>
        <w:r w:rsidR="00BB242F">
          <w:rPr>
            <w:noProof/>
            <w:webHidden/>
          </w:rPr>
          <w:fldChar w:fldCharType="end"/>
        </w:r>
      </w:hyperlink>
    </w:p>
    <w:p w14:paraId="6AA09C81" w14:textId="62D71222" w:rsidR="00BB242F" w:rsidRDefault="009901CB">
      <w:pPr>
        <w:pStyle w:val="TOC5"/>
        <w:rPr>
          <w:rFonts w:asciiTheme="minorHAnsi" w:eastAsiaTheme="minorEastAsia" w:hAnsiTheme="minorHAnsi" w:cstheme="minorBidi"/>
          <w:noProof/>
          <w:sz w:val="22"/>
          <w:szCs w:val="22"/>
        </w:rPr>
      </w:pPr>
      <w:hyperlink w:anchor="_Toc51674426" w:history="1">
        <w:r w:rsidR="00BB242F" w:rsidRPr="001E5232">
          <w:rPr>
            <w:rStyle w:val="Hyperlink"/>
            <w:noProof/>
            <w:shd w:val="clear" w:color="auto" w:fill="FFFFFF"/>
          </w:rPr>
          <w:t>Second option</w:t>
        </w:r>
        <w:r w:rsidR="00BB242F">
          <w:rPr>
            <w:noProof/>
            <w:webHidden/>
          </w:rPr>
          <w:tab/>
        </w:r>
        <w:r w:rsidR="00BB242F">
          <w:rPr>
            <w:noProof/>
            <w:webHidden/>
          </w:rPr>
          <w:fldChar w:fldCharType="begin"/>
        </w:r>
        <w:r w:rsidR="00BB242F">
          <w:rPr>
            <w:noProof/>
            <w:webHidden/>
          </w:rPr>
          <w:instrText xml:space="preserve"> PAGEREF _Toc51674426 \h </w:instrText>
        </w:r>
        <w:r w:rsidR="00BB242F">
          <w:rPr>
            <w:noProof/>
            <w:webHidden/>
          </w:rPr>
        </w:r>
        <w:r w:rsidR="00BB242F">
          <w:rPr>
            <w:noProof/>
            <w:webHidden/>
          </w:rPr>
          <w:fldChar w:fldCharType="separate"/>
        </w:r>
        <w:r w:rsidR="00BB242F">
          <w:rPr>
            <w:noProof/>
            <w:webHidden/>
          </w:rPr>
          <w:t>37</w:t>
        </w:r>
        <w:r w:rsidR="00BB242F">
          <w:rPr>
            <w:noProof/>
            <w:webHidden/>
          </w:rPr>
          <w:fldChar w:fldCharType="end"/>
        </w:r>
      </w:hyperlink>
    </w:p>
    <w:p w14:paraId="2EA0E38C" w14:textId="15E80602" w:rsidR="00BB242F" w:rsidRDefault="009901CB">
      <w:pPr>
        <w:pStyle w:val="TOC5"/>
        <w:rPr>
          <w:rFonts w:asciiTheme="minorHAnsi" w:eastAsiaTheme="minorEastAsia" w:hAnsiTheme="minorHAnsi" w:cstheme="minorBidi"/>
          <w:noProof/>
          <w:sz w:val="22"/>
          <w:szCs w:val="22"/>
        </w:rPr>
      </w:pPr>
      <w:hyperlink w:anchor="_Toc51674427" w:history="1">
        <w:r w:rsidR="00BB242F" w:rsidRPr="001E5232">
          <w:rPr>
            <w:rStyle w:val="Hyperlink"/>
            <w:noProof/>
            <w:shd w:val="clear" w:color="auto" w:fill="FFFFFF"/>
          </w:rPr>
          <w:t>Third option</w:t>
        </w:r>
        <w:r w:rsidR="00BB242F">
          <w:rPr>
            <w:noProof/>
            <w:webHidden/>
          </w:rPr>
          <w:tab/>
        </w:r>
        <w:r w:rsidR="00BB242F">
          <w:rPr>
            <w:noProof/>
            <w:webHidden/>
          </w:rPr>
          <w:fldChar w:fldCharType="begin"/>
        </w:r>
        <w:r w:rsidR="00BB242F">
          <w:rPr>
            <w:noProof/>
            <w:webHidden/>
          </w:rPr>
          <w:instrText xml:space="preserve"> PAGEREF _Toc51674427 \h </w:instrText>
        </w:r>
        <w:r w:rsidR="00BB242F">
          <w:rPr>
            <w:noProof/>
            <w:webHidden/>
          </w:rPr>
        </w:r>
        <w:r w:rsidR="00BB242F">
          <w:rPr>
            <w:noProof/>
            <w:webHidden/>
          </w:rPr>
          <w:fldChar w:fldCharType="separate"/>
        </w:r>
        <w:r w:rsidR="00BB242F">
          <w:rPr>
            <w:noProof/>
            <w:webHidden/>
          </w:rPr>
          <w:t>38</w:t>
        </w:r>
        <w:r w:rsidR="00BB242F">
          <w:rPr>
            <w:noProof/>
            <w:webHidden/>
          </w:rPr>
          <w:fldChar w:fldCharType="end"/>
        </w:r>
      </w:hyperlink>
    </w:p>
    <w:p w14:paraId="6D462DCD" w14:textId="720CEC7A" w:rsidR="00BB242F" w:rsidRDefault="009901CB">
      <w:pPr>
        <w:pStyle w:val="TOC5"/>
        <w:rPr>
          <w:rFonts w:asciiTheme="minorHAnsi" w:eastAsiaTheme="minorEastAsia" w:hAnsiTheme="minorHAnsi" w:cstheme="minorBidi"/>
          <w:noProof/>
          <w:sz w:val="22"/>
          <w:szCs w:val="22"/>
        </w:rPr>
      </w:pPr>
      <w:hyperlink w:anchor="_Toc51674428" w:history="1">
        <w:r w:rsidR="00BB242F" w:rsidRPr="001E5232">
          <w:rPr>
            <w:rStyle w:val="Hyperlink"/>
            <w:noProof/>
            <w:shd w:val="clear" w:color="auto" w:fill="FFFFFF"/>
          </w:rPr>
          <w:t>Fourth option (no action)</w:t>
        </w:r>
        <w:r w:rsidR="00BB242F">
          <w:rPr>
            <w:noProof/>
            <w:webHidden/>
          </w:rPr>
          <w:tab/>
        </w:r>
        <w:r w:rsidR="00BB242F">
          <w:rPr>
            <w:noProof/>
            <w:webHidden/>
          </w:rPr>
          <w:fldChar w:fldCharType="begin"/>
        </w:r>
        <w:r w:rsidR="00BB242F">
          <w:rPr>
            <w:noProof/>
            <w:webHidden/>
          </w:rPr>
          <w:instrText xml:space="preserve"> PAGEREF _Toc51674428 \h </w:instrText>
        </w:r>
        <w:r w:rsidR="00BB242F">
          <w:rPr>
            <w:noProof/>
            <w:webHidden/>
          </w:rPr>
        </w:r>
        <w:r w:rsidR="00BB242F">
          <w:rPr>
            <w:noProof/>
            <w:webHidden/>
          </w:rPr>
          <w:fldChar w:fldCharType="separate"/>
        </w:r>
        <w:r w:rsidR="00BB242F">
          <w:rPr>
            <w:noProof/>
            <w:webHidden/>
          </w:rPr>
          <w:t>38</w:t>
        </w:r>
        <w:r w:rsidR="00BB242F">
          <w:rPr>
            <w:noProof/>
            <w:webHidden/>
          </w:rPr>
          <w:fldChar w:fldCharType="end"/>
        </w:r>
      </w:hyperlink>
    </w:p>
    <w:p w14:paraId="3857F74D" w14:textId="09ECAEED" w:rsidR="00BB242F" w:rsidRDefault="009901CB">
      <w:pPr>
        <w:pStyle w:val="TOC5"/>
        <w:rPr>
          <w:rFonts w:asciiTheme="minorHAnsi" w:eastAsiaTheme="minorEastAsia" w:hAnsiTheme="minorHAnsi" w:cstheme="minorBidi"/>
          <w:noProof/>
          <w:sz w:val="22"/>
          <w:szCs w:val="22"/>
        </w:rPr>
      </w:pPr>
      <w:hyperlink w:anchor="_Toc51674429" w:history="1">
        <w:r w:rsidR="00BB242F" w:rsidRPr="001E5232">
          <w:rPr>
            <w:rStyle w:val="Hyperlink"/>
            <w:noProof/>
            <w:shd w:val="clear" w:color="auto" w:fill="FFFFFF"/>
          </w:rPr>
          <w:t>Summary and preliminary recommendations</w:t>
        </w:r>
        <w:r w:rsidR="00BB242F">
          <w:rPr>
            <w:noProof/>
            <w:webHidden/>
          </w:rPr>
          <w:tab/>
        </w:r>
        <w:r w:rsidR="00BB242F">
          <w:rPr>
            <w:noProof/>
            <w:webHidden/>
          </w:rPr>
          <w:fldChar w:fldCharType="begin"/>
        </w:r>
        <w:r w:rsidR="00BB242F">
          <w:rPr>
            <w:noProof/>
            <w:webHidden/>
          </w:rPr>
          <w:instrText xml:space="preserve"> PAGEREF _Toc51674429 \h </w:instrText>
        </w:r>
        <w:r w:rsidR="00BB242F">
          <w:rPr>
            <w:noProof/>
            <w:webHidden/>
          </w:rPr>
        </w:r>
        <w:r w:rsidR="00BB242F">
          <w:rPr>
            <w:noProof/>
            <w:webHidden/>
          </w:rPr>
          <w:fldChar w:fldCharType="separate"/>
        </w:r>
        <w:r w:rsidR="00BB242F">
          <w:rPr>
            <w:noProof/>
            <w:webHidden/>
          </w:rPr>
          <w:t>39</w:t>
        </w:r>
        <w:r w:rsidR="00BB242F">
          <w:rPr>
            <w:noProof/>
            <w:webHidden/>
          </w:rPr>
          <w:fldChar w:fldCharType="end"/>
        </w:r>
      </w:hyperlink>
    </w:p>
    <w:p w14:paraId="21B7191F" w14:textId="4B144BB7" w:rsidR="00BB242F" w:rsidRDefault="009901CB">
      <w:pPr>
        <w:pStyle w:val="TOC3"/>
        <w:rPr>
          <w:rFonts w:asciiTheme="minorHAnsi" w:eastAsiaTheme="minorEastAsia" w:hAnsiTheme="minorHAnsi" w:cstheme="minorBidi"/>
          <w:noProof/>
          <w:sz w:val="22"/>
          <w:szCs w:val="22"/>
        </w:rPr>
      </w:pPr>
      <w:hyperlink w:anchor="_Toc51674430" w:history="1">
        <w:r w:rsidR="00BB242F" w:rsidRPr="001E5232">
          <w:rPr>
            <w:rStyle w:val="Hyperlink"/>
            <w:noProof/>
          </w:rPr>
          <w:t>Refineries</w:t>
        </w:r>
        <w:r w:rsidR="00BB242F">
          <w:rPr>
            <w:noProof/>
            <w:webHidden/>
          </w:rPr>
          <w:tab/>
        </w:r>
        <w:r w:rsidR="00BB242F">
          <w:rPr>
            <w:noProof/>
            <w:webHidden/>
          </w:rPr>
          <w:fldChar w:fldCharType="begin"/>
        </w:r>
        <w:r w:rsidR="00BB242F">
          <w:rPr>
            <w:noProof/>
            <w:webHidden/>
          </w:rPr>
          <w:instrText xml:space="preserve"> PAGEREF _Toc51674430 \h </w:instrText>
        </w:r>
        <w:r w:rsidR="00BB242F">
          <w:rPr>
            <w:noProof/>
            <w:webHidden/>
          </w:rPr>
        </w:r>
        <w:r w:rsidR="00BB242F">
          <w:rPr>
            <w:noProof/>
            <w:webHidden/>
          </w:rPr>
          <w:fldChar w:fldCharType="separate"/>
        </w:r>
        <w:r w:rsidR="00BB242F">
          <w:rPr>
            <w:noProof/>
            <w:webHidden/>
          </w:rPr>
          <w:t>39</w:t>
        </w:r>
        <w:r w:rsidR="00BB242F">
          <w:rPr>
            <w:noProof/>
            <w:webHidden/>
          </w:rPr>
          <w:fldChar w:fldCharType="end"/>
        </w:r>
      </w:hyperlink>
    </w:p>
    <w:p w14:paraId="084B6D11" w14:textId="4D7761B6" w:rsidR="00BB242F" w:rsidRDefault="009901CB">
      <w:pPr>
        <w:pStyle w:val="TOC4"/>
        <w:rPr>
          <w:rFonts w:asciiTheme="minorHAnsi" w:eastAsiaTheme="minorEastAsia" w:hAnsiTheme="minorHAnsi" w:cstheme="minorBidi"/>
          <w:noProof/>
          <w:sz w:val="22"/>
          <w:szCs w:val="22"/>
        </w:rPr>
      </w:pPr>
      <w:hyperlink w:anchor="_Toc51674431" w:history="1">
        <w:r w:rsidR="00BB242F" w:rsidRPr="001E5232">
          <w:rPr>
            <w:rStyle w:val="Hyperlink"/>
            <w:noProof/>
          </w:rPr>
          <w:t>Initial emission analysis plan</w:t>
        </w:r>
        <w:r w:rsidR="00BB242F">
          <w:rPr>
            <w:noProof/>
            <w:webHidden/>
          </w:rPr>
          <w:tab/>
        </w:r>
        <w:r w:rsidR="00BB242F">
          <w:rPr>
            <w:noProof/>
            <w:webHidden/>
          </w:rPr>
          <w:fldChar w:fldCharType="begin"/>
        </w:r>
        <w:r w:rsidR="00BB242F">
          <w:rPr>
            <w:noProof/>
            <w:webHidden/>
          </w:rPr>
          <w:instrText xml:space="preserve"> PAGEREF _Toc51674431 \h </w:instrText>
        </w:r>
        <w:r w:rsidR="00BB242F">
          <w:rPr>
            <w:noProof/>
            <w:webHidden/>
          </w:rPr>
        </w:r>
        <w:r w:rsidR="00BB242F">
          <w:rPr>
            <w:noProof/>
            <w:webHidden/>
          </w:rPr>
          <w:fldChar w:fldCharType="separate"/>
        </w:r>
        <w:r w:rsidR="00BB242F">
          <w:rPr>
            <w:noProof/>
            <w:webHidden/>
          </w:rPr>
          <w:t>41</w:t>
        </w:r>
        <w:r w:rsidR="00BB242F">
          <w:rPr>
            <w:noProof/>
            <w:webHidden/>
          </w:rPr>
          <w:fldChar w:fldCharType="end"/>
        </w:r>
      </w:hyperlink>
    </w:p>
    <w:p w14:paraId="50A3DE7F" w14:textId="181B7DDF" w:rsidR="00BB242F" w:rsidRDefault="009901CB">
      <w:pPr>
        <w:pStyle w:val="TOC4"/>
        <w:rPr>
          <w:rFonts w:asciiTheme="minorHAnsi" w:eastAsiaTheme="minorEastAsia" w:hAnsiTheme="minorHAnsi" w:cstheme="minorBidi"/>
          <w:noProof/>
          <w:sz w:val="22"/>
          <w:szCs w:val="22"/>
        </w:rPr>
      </w:pPr>
      <w:hyperlink w:anchor="_Toc51674432" w:history="1">
        <w:r w:rsidR="00BB242F" w:rsidRPr="001E5232">
          <w:rPr>
            <w:rStyle w:val="Hyperlink"/>
            <w:noProof/>
          </w:rPr>
          <w:t>Reasonably Available Control Technology</w:t>
        </w:r>
        <w:r w:rsidR="00BB242F">
          <w:rPr>
            <w:noProof/>
            <w:webHidden/>
          </w:rPr>
          <w:tab/>
        </w:r>
        <w:r w:rsidR="00BB242F">
          <w:rPr>
            <w:noProof/>
            <w:webHidden/>
          </w:rPr>
          <w:fldChar w:fldCharType="begin"/>
        </w:r>
        <w:r w:rsidR="00BB242F">
          <w:rPr>
            <w:noProof/>
            <w:webHidden/>
          </w:rPr>
          <w:instrText xml:space="preserve"> PAGEREF _Toc51674432 \h </w:instrText>
        </w:r>
        <w:r w:rsidR="00BB242F">
          <w:rPr>
            <w:noProof/>
            <w:webHidden/>
          </w:rPr>
        </w:r>
        <w:r w:rsidR="00BB242F">
          <w:rPr>
            <w:noProof/>
            <w:webHidden/>
          </w:rPr>
          <w:fldChar w:fldCharType="separate"/>
        </w:r>
        <w:r w:rsidR="00BB242F">
          <w:rPr>
            <w:noProof/>
            <w:webHidden/>
          </w:rPr>
          <w:t>43</w:t>
        </w:r>
        <w:r w:rsidR="00BB242F">
          <w:rPr>
            <w:noProof/>
            <w:webHidden/>
          </w:rPr>
          <w:fldChar w:fldCharType="end"/>
        </w:r>
      </w:hyperlink>
    </w:p>
    <w:p w14:paraId="399B8641" w14:textId="1F74D32E" w:rsidR="00BB242F" w:rsidRDefault="009901CB">
      <w:pPr>
        <w:pStyle w:val="TOC4"/>
        <w:rPr>
          <w:rFonts w:asciiTheme="minorHAnsi" w:eastAsiaTheme="minorEastAsia" w:hAnsiTheme="minorHAnsi" w:cstheme="minorBidi"/>
          <w:noProof/>
          <w:sz w:val="22"/>
          <w:szCs w:val="22"/>
        </w:rPr>
      </w:pPr>
      <w:hyperlink w:anchor="_Toc51674433" w:history="1">
        <w:r w:rsidR="00BB242F" w:rsidRPr="001E5232">
          <w:rPr>
            <w:rStyle w:val="Hyperlink"/>
            <w:noProof/>
          </w:rPr>
          <w:t>Low-NOx Burners</w:t>
        </w:r>
        <w:r w:rsidR="00BB242F">
          <w:rPr>
            <w:noProof/>
            <w:webHidden/>
          </w:rPr>
          <w:tab/>
        </w:r>
        <w:r w:rsidR="00BB242F">
          <w:rPr>
            <w:noProof/>
            <w:webHidden/>
          </w:rPr>
          <w:fldChar w:fldCharType="begin"/>
        </w:r>
        <w:r w:rsidR="00BB242F">
          <w:rPr>
            <w:noProof/>
            <w:webHidden/>
          </w:rPr>
          <w:instrText xml:space="preserve"> PAGEREF _Toc51674433 \h </w:instrText>
        </w:r>
        <w:r w:rsidR="00BB242F">
          <w:rPr>
            <w:noProof/>
            <w:webHidden/>
          </w:rPr>
        </w:r>
        <w:r w:rsidR="00BB242F">
          <w:rPr>
            <w:noProof/>
            <w:webHidden/>
          </w:rPr>
          <w:fldChar w:fldCharType="separate"/>
        </w:r>
        <w:r w:rsidR="00BB242F">
          <w:rPr>
            <w:noProof/>
            <w:webHidden/>
          </w:rPr>
          <w:t>44</w:t>
        </w:r>
        <w:r w:rsidR="00BB242F">
          <w:rPr>
            <w:noProof/>
            <w:webHidden/>
          </w:rPr>
          <w:fldChar w:fldCharType="end"/>
        </w:r>
      </w:hyperlink>
    </w:p>
    <w:p w14:paraId="1E7A3678" w14:textId="097A28EC" w:rsidR="00BB242F" w:rsidRDefault="009901CB">
      <w:pPr>
        <w:pStyle w:val="TOC4"/>
        <w:rPr>
          <w:rFonts w:asciiTheme="minorHAnsi" w:eastAsiaTheme="minorEastAsia" w:hAnsiTheme="minorHAnsi" w:cstheme="minorBidi"/>
          <w:noProof/>
          <w:sz w:val="22"/>
          <w:szCs w:val="22"/>
        </w:rPr>
      </w:pPr>
      <w:hyperlink w:anchor="_Toc51674434" w:history="1">
        <w:r w:rsidR="00BB242F" w:rsidRPr="001E5232">
          <w:rPr>
            <w:rStyle w:val="Hyperlink"/>
            <w:noProof/>
          </w:rPr>
          <w:t>Facility specifics</w:t>
        </w:r>
        <w:r w:rsidR="00BB242F">
          <w:rPr>
            <w:noProof/>
            <w:webHidden/>
          </w:rPr>
          <w:tab/>
        </w:r>
        <w:r w:rsidR="00BB242F">
          <w:rPr>
            <w:noProof/>
            <w:webHidden/>
          </w:rPr>
          <w:fldChar w:fldCharType="begin"/>
        </w:r>
        <w:r w:rsidR="00BB242F">
          <w:rPr>
            <w:noProof/>
            <w:webHidden/>
          </w:rPr>
          <w:instrText xml:space="preserve"> PAGEREF _Toc51674434 \h </w:instrText>
        </w:r>
        <w:r w:rsidR="00BB242F">
          <w:rPr>
            <w:noProof/>
            <w:webHidden/>
          </w:rPr>
        </w:r>
        <w:r w:rsidR="00BB242F">
          <w:rPr>
            <w:noProof/>
            <w:webHidden/>
          </w:rPr>
          <w:fldChar w:fldCharType="separate"/>
        </w:r>
        <w:r w:rsidR="00BB242F">
          <w:rPr>
            <w:noProof/>
            <w:webHidden/>
          </w:rPr>
          <w:t>45</w:t>
        </w:r>
        <w:r w:rsidR="00BB242F">
          <w:rPr>
            <w:noProof/>
            <w:webHidden/>
          </w:rPr>
          <w:fldChar w:fldCharType="end"/>
        </w:r>
      </w:hyperlink>
    </w:p>
    <w:p w14:paraId="51885EAD" w14:textId="76403635" w:rsidR="00BB242F" w:rsidRDefault="009901CB">
      <w:pPr>
        <w:pStyle w:val="TOC5"/>
        <w:rPr>
          <w:rFonts w:asciiTheme="minorHAnsi" w:eastAsiaTheme="minorEastAsia" w:hAnsiTheme="minorHAnsi" w:cstheme="minorBidi"/>
          <w:noProof/>
          <w:sz w:val="22"/>
          <w:szCs w:val="22"/>
        </w:rPr>
      </w:pPr>
      <w:hyperlink w:anchor="_Toc51674435" w:history="1">
        <w:r w:rsidR="00BB242F" w:rsidRPr="001E5232">
          <w:rPr>
            <w:rStyle w:val="Hyperlink"/>
            <w:noProof/>
          </w:rPr>
          <w:t>BP/Cherry Point Refinery</w:t>
        </w:r>
        <w:r w:rsidR="00BB242F">
          <w:rPr>
            <w:noProof/>
            <w:webHidden/>
          </w:rPr>
          <w:tab/>
        </w:r>
        <w:r w:rsidR="00BB242F">
          <w:rPr>
            <w:noProof/>
            <w:webHidden/>
          </w:rPr>
          <w:fldChar w:fldCharType="begin"/>
        </w:r>
        <w:r w:rsidR="00BB242F">
          <w:rPr>
            <w:noProof/>
            <w:webHidden/>
          </w:rPr>
          <w:instrText xml:space="preserve"> PAGEREF _Toc51674435 \h </w:instrText>
        </w:r>
        <w:r w:rsidR="00BB242F">
          <w:rPr>
            <w:noProof/>
            <w:webHidden/>
          </w:rPr>
        </w:r>
        <w:r w:rsidR="00BB242F">
          <w:rPr>
            <w:noProof/>
            <w:webHidden/>
          </w:rPr>
          <w:fldChar w:fldCharType="separate"/>
        </w:r>
        <w:r w:rsidR="00BB242F">
          <w:rPr>
            <w:noProof/>
            <w:webHidden/>
          </w:rPr>
          <w:t>45</w:t>
        </w:r>
        <w:r w:rsidR="00BB242F">
          <w:rPr>
            <w:noProof/>
            <w:webHidden/>
          </w:rPr>
          <w:fldChar w:fldCharType="end"/>
        </w:r>
      </w:hyperlink>
    </w:p>
    <w:p w14:paraId="77A4FED1" w14:textId="76996A27" w:rsidR="00BB242F" w:rsidRDefault="009901CB">
      <w:pPr>
        <w:pStyle w:val="TOC5"/>
        <w:rPr>
          <w:rFonts w:asciiTheme="minorHAnsi" w:eastAsiaTheme="minorEastAsia" w:hAnsiTheme="minorHAnsi" w:cstheme="minorBidi"/>
          <w:noProof/>
          <w:sz w:val="22"/>
          <w:szCs w:val="22"/>
        </w:rPr>
      </w:pPr>
      <w:hyperlink w:anchor="_Toc51674436" w:history="1">
        <w:r w:rsidR="00BB242F" w:rsidRPr="001E5232">
          <w:rPr>
            <w:rStyle w:val="Hyperlink"/>
            <w:noProof/>
          </w:rPr>
          <w:t>Summary and preliminary recommendations</w:t>
        </w:r>
        <w:r w:rsidR="00BB242F">
          <w:rPr>
            <w:noProof/>
            <w:webHidden/>
          </w:rPr>
          <w:tab/>
        </w:r>
        <w:r w:rsidR="00BB242F">
          <w:rPr>
            <w:noProof/>
            <w:webHidden/>
          </w:rPr>
          <w:fldChar w:fldCharType="begin"/>
        </w:r>
        <w:r w:rsidR="00BB242F">
          <w:rPr>
            <w:noProof/>
            <w:webHidden/>
          </w:rPr>
          <w:instrText xml:space="preserve"> PAGEREF _Toc51674436 \h </w:instrText>
        </w:r>
        <w:r w:rsidR="00BB242F">
          <w:rPr>
            <w:noProof/>
            <w:webHidden/>
          </w:rPr>
        </w:r>
        <w:r w:rsidR="00BB242F">
          <w:rPr>
            <w:noProof/>
            <w:webHidden/>
          </w:rPr>
          <w:fldChar w:fldCharType="separate"/>
        </w:r>
        <w:r w:rsidR="00BB242F">
          <w:rPr>
            <w:noProof/>
            <w:webHidden/>
          </w:rPr>
          <w:t>48</w:t>
        </w:r>
        <w:r w:rsidR="00BB242F">
          <w:rPr>
            <w:noProof/>
            <w:webHidden/>
          </w:rPr>
          <w:fldChar w:fldCharType="end"/>
        </w:r>
      </w:hyperlink>
    </w:p>
    <w:p w14:paraId="0FD08E51" w14:textId="5F61718F" w:rsidR="00BB242F" w:rsidRDefault="009901CB">
      <w:pPr>
        <w:pStyle w:val="TOC5"/>
        <w:rPr>
          <w:rFonts w:asciiTheme="minorHAnsi" w:eastAsiaTheme="minorEastAsia" w:hAnsiTheme="minorHAnsi" w:cstheme="minorBidi"/>
          <w:noProof/>
          <w:sz w:val="22"/>
          <w:szCs w:val="22"/>
        </w:rPr>
      </w:pPr>
      <w:hyperlink w:anchor="_Toc51674437" w:history="1">
        <w:r w:rsidR="00BB242F" w:rsidRPr="001E5232">
          <w:rPr>
            <w:rStyle w:val="Hyperlink"/>
            <w:noProof/>
          </w:rPr>
          <w:t>Phillips 66</w:t>
        </w:r>
        <w:r w:rsidR="00BB242F">
          <w:rPr>
            <w:noProof/>
            <w:webHidden/>
          </w:rPr>
          <w:tab/>
        </w:r>
        <w:r w:rsidR="00BB242F">
          <w:rPr>
            <w:noProof/>
            <w:webHidden/>
          </w:rPr>
          <w:fldChar w:fldCharType="begin"/>
        </w:r>
        <w:r w:rsidR="00BB242F">
          <w:rPr>
            <w:noProof/>
            <w:webHidden/>
          </w:rPr>
          <w:instrText xml:space="preserve"> PAGEREF _Toc51674437 \h </w:instrText>
        </w:r>
        <w:r w:rsidR="00BB242F">
          <w:rPr>
            <w:noProof/>
            <w:webHidden/>
          </w:rPr>
        </w:r>
        <w:r w:rsidR="00BB242F">
          <w:rPr>
            <w:noProof/>
            <w:webHidden/>
          </w:rPr>
          <w:fldChar w:fldCharType="separate"/>
        </w:r>
        <w:r w:rsidR="00BB242F">
          <w:rPr>
            <w:noProof/>
            <w:webHidden/>
          </w:rPr>
          <w:t>49</w:t>
        </w:r>
        <w:r w:rsidR="00BB242F">
          <w:rPr>
            <w:noProof/>
            <w:webHidden/>
          </w:rPr>
          <w:fldChar w:fldCharType="end"/>
        </w:r>
      </w:hyperlink>
    </w:p>
    <w:p w14:paraId="4EF06C9A" w14:textId="5D2080D5" w:rsidR="00BB242F" w:rsidRDefault="009901CB">
      <w:pPr>
        <w:pStyle w:val="TOC5"/>
        <w:rPr>
          <w:rFonts w:asciiTheme="minorHAnsi" w:eastAsiaTheme="minorEastAsia" w:hAnsiTheme="minorHAnsi" w:cstheme="minorBidi"/>
          <w:noProof/>
          <w:sz w:val="22"/>
          <w:szCs w:val="22"/>
        </w:rPr>
      </w:pPr>
      <w:hyperlink w:anchor="_Toc51674438" w:history="1">
        <w:r w:rsidR="00BB242F" w:rsidRPr="001E5232">
          <w:rPr>
            <w:rStyle w:val="Hyperlink"/>
            <w:noProof/>
          </w:rPr>
          <w:t>Shell</w:t>
        </w:r>
        <w:r w:rsidR="00BB242F">
          <w:rPr>
            <w:noProof/>
            <w:webHidden/>
          </w:rPr>
          <w:tab/>
        </w:r>
        <w:r w:rsidR="00BB242F">
          <w:rPr>
            <w:noProof/>
            <w:webHidden/>
          </w:rPr>
          <w:fldChar w:fldCharType="begin"/>
        </w:r>
        <w:r w:rsidR="00BB242F">
          <w:rPr>
            <w:noProof/>
            <w:webHidden/>
          </w:rPr>
          <w:instrText xml:space="preserve"> PAGEREF _Toc51674438 \h </w:instrText>
        </w:r>
        <w:r w:rsidR="00BB242F">
          <w:rPr>
            <w:noProof/>
            <w:webHidden/>
          </w:rPr>
        </w:r>
        <w:r w:rsidR="00BB242F">
          <w:rPr>
            <w:noProof/>
            <w:webHidden/>
          </w:rPr>
          <w:fldChar w:fldCharType="separate"/>
        </w:r>
        <w:r w:rsidR="00BB242F">
          <w:rPr>
            <w:noProof/>
            <w:webHidden/>
          </w:rPr>
          <w:t>51</w:t>
        </w:r>
        <w:r w:rsidR="00BB242F">
          <w:rPr>
            <w:noProof/>
            <w:webHidden/>
          </w:rPr>
          <w:fldChar w:fldCharType="end"/>
        </w:r>
      </w:hyperlink>
    </w:p>
    <w:p w14:paraId="78832C1B" w14:textId="2979BB21" w:rsidR="00BB242F" w:rsidRDefault="009901CB">
      <w:pPr>
        <w:pStyle w:val="TOC5"/>
        <w:rPr>
          <w:rFonts w:asciiTheme="minorHAnsi" w:eastAsiaTheme="minorEastAsia" w:hAnsiTheme="minorHAnsi" w:cstheme="minorBidi"/>
          <w:noProof/>
          <w:sz w:val="22"/>
          <w:szCs w:val="22"/>
        </w:rPr>
      </w:pPr>
      <w:hyperlink w:anchor="_Toc51674439" w:history="1">
        <w:r w:rsidR="00BB242F" w:rsidRPr="001E5232">
          <w:rPr>
            <w:rStyle w:val="Hyperlink"/>
            <w:noProof/>
          </w:rPr>
          <w:t>Tesoro</w:t>
        </w:r>
        <w:r w:rsidR="00BB242F">
          <w:rPr>
            <w:noProof/>
            <w:webHidden/>
          </w:rPr>
          <w:tab/>
        </w:r>
        <w:r w:rsidR="00BB242F">
          <w:rPr>
            <w:noProof/>
            <w:webHidden/>
          </w:rPr>
          <w:fldChar w:fldCharType="begin"/>
        </w:r>
        <w:r w:rsidR="00BB242F">
          <w:rPr>
            <w:noProof/>
            <w:webHidden/>
          </w:rPr>
          <w:instrText xml:space="preserve"> PAGEREF _Toc51674439 \h </w:instrText>
        </w:r>
        <w:r w:rsidR="00BB242F">
          <w:rPr>
            <w:noProof/>
            <w:webHidden/>
          </w:rPr>
        </w:r>
        <w:r w:rsidR="00BB242F">
          <w:rPr>
            <w:noProof/>
            <w:webHidden/>
          </w:rPr>
          <w:fldChar w:fldCharType="separate"/>
        </w:r>
        <w:r w:rsidR="00BB242F">
          <w:rPr>
            <w:noProof/>
            <w:webHidden/>
          </w:rPr>
          <w:t>54</w:t>
        </w:r>
        <w:r w:rsidR="00BB242F">
          <w:rPr>
            <w:noProof/>
            <w:webHidden/>
          </w:rPr>
          <w:fldChar w:fldCharType="end"/>
        </w:r>
      </w:hyperlink>
    </w:p>
    <w:p w14:paraId="5B3FF1AE" w14:textId="2886B7D7" w:rsidR="00BB242F" w:rsidRDefault="009901CB">
      <w:pPr>
        <w:pStyle w:val="TOC5"/>
        <w:rPr>
          <w:rFonts w:asciiTheme="minorHAnsi" w:eastAsiaTheme="minorEastAsia" w:hAnsiTheme="minorHAnsi" w:cstheme="minorBidi"/>
          <w:noProof/>
          <w:sz w:val="22"/>
          <w:szCs w:val="22"/>
        </w:rPr>
      </w:pPr>
      <w:hyperlink w:anchor="_Toc51674440" w:history="1">
        <w:r w:rsidR="00BB242F" w:rsidRPr="001E5232">
          <w:rPr>
            <w:rStyle w:val="Hyperlink"/>
            <w:noProof/>
          </w:rPr>
          <w:t>US Oil</w:t>
        </w:r>
        <w:r w:rsidR="00BB242F">
          <w:rPr>
            <w:noProof/>
            <w:webHidden/>
          </w:rPr>
          <w:tab/>
        </w:r>
        <w:r w:rsidR="00BB242F">
          <w:rPr>
            <w:noProof/>
            <w:webHidden/>
          </w:rPr>
          <w:fldChar w:fldCharType="begin"/>
        </w:r>
        <w:r w:rsidR="00BB242F">
          <w:rPr>
            <w:noProof/>
            <w:webHidden/>
          </w:rPr>
          <w:instrText xml:space="preserve"> PAGEREF _Toc51674440 \h </w:instrText>
        </w:r>
        <w:r w:rsidR="00BB242F">
          <w:rPr>
            <w:noProof/>
            <w:webHidden/>
          </w:rPr>
        </w:r>
        <w:r w:rsidR="00BB242F">
          <w:rPr>
            <w:noProof/>
            <w:webHidden/>
          </w:rPr>
          <w:fldChar w:fldCharType="separate"/>
        </w:r>
        <w:r w:rsidR="00BB242F">
          <w:rPr>
            <w:noProof/>
            <w:webHidden/>
          </w:rPr>
          <w:t>58</w:t>
        </w:r>
        <w:r w:rsidR="00BB242F">
          <w:rPr>
            <w:noProof/>
            <w:webHidden/>
          </w:rPr>
          <w:fldChar w:fldCharType="end"/>
        </w:r>
      </w:hyperlink>
    </w:p>
    <w:p w14:paraId="7269E0C5" w14:textId="51B4EA44" w:rsidR="009C79C2" w:rsidRPr="009C79C2" w:rsidRDefault="009C79C2" w:rsidP="009C79C2">
      <w:r>
        <w:fldChar w:fldCharType="end"/>
      </w:r>
    </w:p>
    <w:p w14:paraId="426126F2" w14:textId="7A6C501D" w:rsidR="00A63680" w:rsidRDefault="00A63680" w:rsidP="00080367">
      <w:pPr>
        <w:pStyle w:val="Heading2"/>
      </w:pPr>
      <w:bookmarkStart w:id="7" w:name="_Toc49932148"/>
      <w:bookmarkStart w:id="8" w:name="_Toc51673338"/>
      <w:bookmarkStart w:id="9" w:name="_Toc51674154"/>
      <w:bookmarkStart w:id="10" w:name="_Toc51674394"/>
      <w:r>
        <w:lastRenderedPageBreak/>
        <w:t>Tables</w:t>
      </w:r>
      <w:bookmarkEnd w:id="7"/>
      <w:bookmarkEnd w:id="8"/>
      <w:bookmarkEnd w:id="9"/>
      <w:bookmarkEnd w:id="10"/>
    </w:p>
    <w:p w14:paraId="0016657E" w14:textId="3604C02D" w:rsidR="00876FB0" w:rsidRDefault="0099371C">
      <w:pPr>
        <w:pStyle w:val="TableofFigure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51675372" w:history="1">
        <w:r w:rsidR="00876FB0" w:rsidRPr="007D355F">
          <w:rPr>
            <w:rStyle w:val="Hyperlink"/>
            <w:noProof/>
          </w:rPr>
          <w:t>Table 1: Q/d analysis major and non-major sources</w:t>
        </w:r>
        <w:r w:rsidR="00876FB0">
          <w:rPr>
            <w:noProof/>
            <w:webHidden/>
          </w:rPr>
          <w:tab/>
        </w:r>
        <w:r w:rsidR="00876FB0">
          <w:rPr>
            <w:noProof/>
            <w:webHidden/>
          </w:rPr>
          <w:fldChar w:fldCharType="begin"/>
        </w:r>
        <w:r w:rsidR="00876FB0">
          <w:rPr>
            <w:noProof/>
            <w:webHidden/>
          </w:rPr>
          <w:instrText xml:space="preserve"> PAGEREF _Toc51675372 \h </w:instrText>
        </w:r>
        <w:r w:rsidR="00876FB0">
          <w:rPr>
            <w:noProof/>
            <w:webHidden/>
          </w:rPr>
        </w:r>
        <w:r w:rsidR="00876FB0">
          <w:rPr>
            <w:noProof/>
            <w:webHidden/>
          </w:rPr>
          <w:fldChar w:fldCharType="separate"/>
        </w:r>
        <w:r w:rsidR="00876FB0">
          <w:rPr>
            <w:noProof/>
            <w:webHidden/>
          </w:rPr>
          <w:t>9</w:t>
        </w:r>
        <w:r w:rsidR="00876FB0">
          <w:rPr>
            <w:noProof/>
            <w:webHidden/>
          </w:rPr>
          <w:fldChar w:fldCharType="end"/>
        </w:r>
      </w:hyperlink>
    </w:p>
    <w:p w14:paraId="76404AF7" w14:textId="32E665F2" w:rsidR="00876FB0" w:rsidRDefault="009901CB">
      <w:pPr>
        <w:pStyle w:val="TableofFigures"/>
        <w:rPr>
          <w:rFonts w:asciiTheme="minorHAnsi" w:eastAsiaTheme="minorEastAsia" w:hAnsiTheme="minorHAnsi" w:cstheme="minorBidi"/>
          <w:noProof/>
          <w:sz w:val="22"/>
          <w:szCs w:val="22"/>
        </w:rPr>
      </w:pPr>
      <w:hyperlink w:anchor="_Toc51675373" w:history="1">
        <w:r w:rsidR="00876FB0" w:rsidRPr="007D355F">
          <w:rPr>
            <w:rStyle w:val="Hyperlink"/>
            <w:noProof/>
          </w:rPr>
          <w:t>Table 2: Q/d majors only</w:t>
        </w:r>
        <w:r w:rsidR="00876FB0">
          <w:rPr>
            <w:noProof/>
            <w:webHidden/>
          </w:rPr>
          <w:tab/>
        </w:r>
        <w:r w:rsidR="00876FB0">
          <w:rPr>
            <w:noProof/>
            <w:webHidden/>
          </w:rPr>
          <w:fldChar w:fldCharType="begin"/>
        </w:r>
        <w:r w:rsidR="00876FB0">
          <w:rPr>
            <w:noProof/>
            <w:webHidden/>
          </w:rPr>
          <w:instrText xml:space="preserve"> PAGEREF _Toc51675373 \h </w:instrText>
        </w:r>
        <w:r w:rsidR="00876FB0">
          <w:rPr>
            <w:noProof/>
            <w:webHidden/>
          </w:rPr>
        </w:r>
        <w:r w:rsidR="00876FB0">
          <w:rPr>
            <w:noProof/>
            <w:webHidden/>
          </w:rPr>
          <w:fldChar w:fldCharType="separate"/>
        </w:r>
        <w:r w:rsidR="00876FB0">
          <w:rPr>
            <w:noProof/>
            <w:webHidden/>
          </w:rPr>
          <w:t>13</w:t>
        </w:r>
        <w:r w:rsidR="00876FB0">
          <w:rPr>
            <w:noProof/>
            <w:webHidden/>
          </w:rPr>
          <w:fldChar w:fldCharType="end"/>
        </w:r>
      </w:hyperlink>
    </w:p>
    <w:p w14:paraId="1B88EEC7" w14:textId="7D16EE60" w:rsidR="00876FB0" w:rsidRDefault="009901CB">
      <w:pPr>
        <w:pStyle w:val="TableofFigures"/>
        <w:rPr>
          <w:rFonts w:asciiTheme="minorHAnsi" w:eastAsiaTheme="minorEastAsia" w:hAnsiTheme="minorHAnsi" w:cstheme="minorBidi"/>
          <w:noProof/>
          <w:sz w:val="22"/>
          <w:szCs w:val="22"/>
        </w:rPr>
      </w:pPr>
      <w:hyperlink w:anchor="_Toc51675374" w:history="1">
        <w:r w:rsidR="00876FB0" w:rsidRPr="007D355F">
          <w:rPr>
            <w:rStyle w:val="Hyperlink"/>
            <w:noProof/>
          </w:rPr>
          <w:t>Table 3: Emissions summary</w:t>
        </w:r>
        <w:r w:rsidR="00876FB0">
          <w:rPr>
            <w:noProof/>
            <w:webHidden/>
          </w:rPr>
          <w:tab/>
        </w:r>
        <w:r w:rsidR="00876FB0">
          <w:rPr>
            <w:noProof/>
            <w:webHidden/>
          </w:rPr>
          <w:fldChar w:fldCharType="begin"/>
        </w:r>
        <w:r w:rsidR="00876FB0">
          <w:rPr>
            <w:noProof/>
            <w:webHidden/>
          </w:rPr>
          <w:instrText xml:space="preserve"> PAGEREF _Toc51675374 \h </w:instrText>
        </w:r>
        <w:r w:rsidR="00876FB0">
          <w:rPr>
            <w:noProof/>
            <w:webHidden/>
          </w:rPr>
        </w:r>
        <w:r w:rsidR="00876FB0">
          <w:rPr>
            <w:noProof/>
            <w:webHidden/>
          </w:rPr>
          <w:fldChar w:fldCharType="separate"/>
        </w:r>
        <w:r w:rsidR="00876FB0">
          <w:rPr>
            <w:noProof/>
            <w:webHidden/>
          </w:rPr>
          <w:t>20</w:t>
        </w:r>
        <w:r w:rsidR="00876FB0">
          <w:rPr>
            <w:noProof/>
            <w:webHidden/>
          </w:rPr>
          <w:fldChar w:fldCharType="end"/>
        </w:r>
      </w:hyperlink>
    </w:p>
    <w:p w14:paraId="6F3D11F2" w14:textId="0176F534" w:rsidR="00876FB0" w:rsidRDefault="009901CB">
      <w:pPr>
        <w:pStyle w:val="TableofFigures"/>
        <w:rPr>
          <w:rFonts w:asciiTheme="minorHAnsi" w:eastAsiaTheme="minorEastAsia" w:hAnsiTheme="minorHAnsi" w:cstheme="minorBidi"/>
          <w:noProof/>
          <w:sz w:val="22"/>
          <w:szCs w:val="22"/>
        </w:rPr>
      </w:pPr>
      <w:hyperlink w:anchor="_Toc51675375" w:history="1">
        <w:r w:rsidR="00876FB0" w:rsidRPr="007D355F">
          <w:rPr>
            <w:rStyle w:val="Hyperlink"/>
            <w:noProof/>
          </w:rPr>
          <w:t>Table 4: Cardinal cost vs Ecology using the EPA Control Cost Manual with June 15,2020,updated exhaust flow and capital cost</w:t>
        </w:r>
        <w:r w:rsidR="00876FB0">
          <w:rPr>
            <w:noProof/>
            <w:webHidden/>
          </w:rPr>
          <w:tab/>
        </w:r>
        <w:r w:rsidR="00876FB0">
          <w:rPr>
            <w:noProof/>
            <w:webHidden/>
          </w:rPr>
          <w:fldChar w:fldCharType="begin"/>
        </w:r>
        <w:r w:rsidR="00876FB0">
          <w:rPr>
            <w:noProof/>
            <w:webHidden/>
          </w:rPr>
          <w:instrText xml:space="preserve"> PAGEREF _Toc51675375 \h </w:instrText>
        </w:r>
        <w:r w:rsidR="00876FB0">
          <w:rPr>
            <w:noProof/>
            <w:webHidden/>
          </w:rPr>
        </w:r>
        <w:r w:rsidR="00876FB0">
          <w:rPr>
            <w:noProof/>
            <w:webHidden/>
          </w:rPr>
          <w:fldChar w:fldCharType="separate"/>
        </w:r>
        <w:r w:rsidR="00876FB0">
          <w:rPr>
            <w:noProof/>
            <w:webHidden/>
          </w:rPr>
          <w:t>22</w:t>
        </w:r>
        <w:r w:rsidR="00876FB0">
          <w:rPr>
            <w:noProof/>
            <w:webHidden/>
          </w:rPr>
          <w:fldChar w:fldCharType="end"/>
        </w:r>
      </w:hyperlink>
    </w:p>
    <w:p w14:paraId="14E65FF6" w14:textId="20FE8DDA" w:rsidR="00876FB0" w:rsidRDefault="009901CB">
      <w:pPr>
        <w:pStyle w:val="TableofFigures"/>
        <w:rPr>
          <w:rFonts w:asciiTheme="minorHAnsi" w:eastAsiaTheme="minorEastAsia" w:hAnsiTheme="minorHAnsi" w:cstheme="minorBidi"/>
          <w:noProof/>
          <w:sz w:val="22"/>
          <w:szCs w:val="22"/>
        </w:rPr>
      </w:pPr>
      <w:hyperlink w:anchor="_Toc51675376" w:history="1">
        <w:r w:rsidR="00876FB0" w:rsidRPr="007D355F">
          <w:rPr>
            <w:rStyle w:val="Hyperlink"/>
            <w:noProof/>
          </w:rPr>
          <w:t>Table 5: Primary aluminum facility 2014 emissions</w:t>
        </w:r>
        <w:r w:rsidR="00876FB0">
          <w:rPr>
            <w:noProof/>
            <w:webHidden/>
          </w:rPr>
          <w:tab/>
        </w:r>
        <w:r w:rsidR="00876FB0">
          <w:rPr>
            <w:noProof/>
            <w:webHidden/>
          </w:rPr>
          <w:fldChar w:fldCharType="begin"/>
        </w:r>
        <w:r w:rsidR="00876FB0">
          <w:rPr>
            <w:noProof/>
            <w:webHidden/>
          </w:rPr>
          <w:instrText xml:space="preserve"> PAGEREF _Toc51675376 \h </w:instrText>
        </w:r>
        <w:r w:rsidR="00876FB0">
          <w:rPr>
            <w:noProof/>
            <w:webHidden/>
          </w:rPr>
        </w:r>
        <w:r w:rsidR="00876FB0">
          <w:rPr>
            <w:noProof/>
            <w:webHidden/>
          </w:rPr>
          <w:fldChar w:fldCharType="separate"/>
        </w:r>
        <w:r w:rsidR="00876FB0">
          <w:rPr>
            <w:noProof/>
            <w:webHidden/>
          </w:rPr>
          <w:t>25</w:t>
        </w:r>
        <w:r w:rsidR="00876FB0">
          <w:rPr>
            <w:noProof/>
            <w:webHidden/>
          </w:rPr>
          <w:fldChar w:fldCharType="end"/>
        </w:r>
      </w:hyperlink>
    </w:p>
    <w:p w14:paraId="64FC1B55" w14:textId="4A0015CD" w:rsidR="00876FB0" w:rsidRDefault="009901CB">
      <w:pPr>
        <w:pStyle w:val="TableofFigures"/>
        <w:rPr>
          <w:rFonts w:asciiTheme="minorHAnsi" w:eastAsiaTheme="minorEastAsia" w:hAnsiTheme="minorHAnsi" w:cstheme="minorBidi"/>
          <w:noProof/>
          <w:sz w:val="22"/>
          <w:szCs w:val="22"/>
        </w:rPr>
      </w:pPr>
      <w:hyperlink w:anchor="_Toc51675377" w:history="1">
        <w:r w:rsidR="00876FB0" w:rsidRPr="007D355F">
          <w:rPr>
            <w:rStyle w:val="Hyperlink"/>
            <w:noProof/>
          </w:rPr>
          <w:t>Table 6: Washington refineries annual emissions and production capacity</w:t>
        </w:r>
        <w:r w:rsidR="00876FB0">
          <w:rPr>
            <w:noProof/>
            <w:webHidden/>
          </w:rPr>
          <w:tab/>
        </w:r>
        <w:r w:rsidR="00876FB0">
          <w:rPr>
            <w:noProof/>
            <w:webHidden/>
          </w:rPr>
          <w:fldChar w:fldCharType="begin"/>
        </w:r>
        <w:r w:rsidR="00876FB0">
          <w:rPr>
            <w:noProof/>
            <w:webHidden/>
          </w:rPr>
          <w:instrText xml:space="preserve"> PAGEREF _Toc51675377 \h </w:instrText>
        </w:r>
        <w:r w:rsidR="00876FB0">
          <w:rPr>
            <w:noProof/>
            <w:webHidden/>
          </w:rPr>
        </w:r>
        <w:r w:rsidR="00876FB0">
          <w:rPr>
            <w:noProof/>
            <w:webHidden/>
          </w:rPr>
          <w:fldChar w:fldCharType="separate"/>
        </w:r>
        <w:r w:rsidR="00876FB0">
          <w:rPr>
            <w:noProof/>
            <w:webHidden/>
          </w:rPr>
          <w:t>40</w:t>
        </w:r>
        <w:r w:rsidR="00876FB0">
          <w:rPr>
            <w:noProof/>
            <w:webHidden/>
          </w:rPr>
          <w:fldChar w:fldCharType="end"/>
        </w:r>
      </w:hyperlink>
    </w:p>
    <w:p w14:paraId="36B18A35" w14:textId="131A9775" w:rsidR="00876FB0" w:rsidRDefault="009901CB">
      <w:pPr>
        <w:pStyle w:val="TableofFigures"/>
        <w:rPr>
          <w:rFonts w:asciiTheme="minorHAnsi" w:eastAsiaTheme="minorEastAsia" w:hAnsiTheme="minorHAnsi" w:cstheme="minorBidi"/>
          <w:noProof/>
          <w:sz w:val="22"/>
          <w:szCs w:val="22"/>
        </w:rPr>
      </w:pPr>
      <w:hyperlink w:anchor="_Toc51675378" w:history="1">
        <w:r w:rsidR="00876FB0" w:rsidRPr="007D355F">
          <w:rPr>
            <w:rStyle w:val="Hyperlink"/>
            <w:noProof/>
          </w:rPr>
          <w:t>Table 7: Refinery equipment identified for RACT rule development</w:t>
        </w:r>
        <w:r w:rsidR="00876FB0">
          <w:rPr>
            <w:noProof/>
            <w:webHidden/>
          </w:rPr>
          <w:tab/>
        </w:r>
        <w:r w:rsidR="00876FB0">
          <w:rPr>
            <w:noProof/>
            <w:webHidden/>
          </w:rPr>
          <w:fldChar w:fldCharType="begin"/>
        </w:r>
        <w:r w:rsidR="00876FB0">
          <w:rPr>
            <w:noProof/>
            <w:webHidden/>
          </w:rPr>
          <w:instrText xml:space="preserve"> PAGEREF _Toc51675378 \h </w:instrText>
        </w:r>
        <w:r w:rsidR="00876FB0">
          <w:rPr>
            <w:noProof/>
            <w:webHidden/>
          </w:rPr>
        </w:r>
        <w:r w:rsidR="00876FB0">
          <w:rPr>
            <w:noProof/>
            <w:webHidden/>
          </w:rPr>
          <w:fldChar w:fldCharType="separate"/>
        </w:r>
        <w:r w:rsidR="00876FB0">
          <w:rPr>
            <w:noProof/>
            <w:webHidden/>
          </w:rPr>
          <w:t>42</w:t>
        </w:r>
        <w:r w:rsidR="00876FB0">
          <w:rPr>
            <w:noProof/>
            <w:webHidden/>
          </w:rPr>
          <w:fldChar w:fldCharType="end"/>
        </w:r>
      </w:hyperlink>
    </w:p>
    <w:p w14:paraId="540FF688" w14:textId="1A616843" w:rsidR="00876FB0" w:rsidRDefault="009901CB">
      <w:pPr>
        <w:pStyle w:val="TableofFigures"/>
        <w:rPr>
          <w:rFonts w:asciiTheme="minorHAnsi" w:eastAsiaTheme="minorEastAsia" w:hAnsiTheme="minorHAnsi" w:cstheme="minorBidi"/>
          <w:noProof/>
          <w:sz w:val="22"/>
          <w:szCs w:val="22"/>
        </w:rPr>
      </w:pPr>
      <w:hyperlink w:anchor="_Toc51675379" w:history="1">
        <w:r w:rsidR="00876FB0" w:rsidRPr="007D355F">
          <w:rPr>
            <w:rStyle w:val="Hyperlink"/>
            <w:noProof/>
          </w:rPr>
          <w:t>Table 8: BP Cherry Point equipment identified for RACT rule development</w:t>
        </w:r>
        <w:r w:rsidR="00876FB0">
          <w:rPr>
            <w:noProof/>
            <w:webHidden/>
          </w:rPr>
          <w:tab/>
        </w:r>
        <w:r w:rsidR="00876FB0">
          <w:rPr>
            <w:noProof/>
            <w:webHidden/>
          </w:rPr>
          <w:fldChar w:fldCharType="begin"/>
        </w:r>
        <w:r w:rsidR="00876FB0">
          <w:rPr>
            <w:noProof/>
            <w:webHidden/>
          </w:rPr>
          <w:instrText xml:space="preserve"> PAGEREF _Toc51675379 \h </w:instrText>
        </w:r>
        <w:r w:rsidR="00876FB0">
          <w:rPr>
            <w:noProof/>
            <w:webHidden/>
          </w:rPr>
        </w:r>
        <w:r w:rsidR="00876FB0">
          <w:rPr>
            <w:noProof/>
            <w:webHidden/>
          </w:rPr>
          <w:fldChar w:fldCharType="separate"/>
        </w:r>
        <w:r w:rsidR="00876FB0">
          <w:rPr>
            <w:noProof/>
            <w:webHidden/>
          </w:rPr>
          <w:t>46</w:t>
        </w:r>
        <w:r w:rsidR="00876FB0">
          <w:rPr>
            <w:noProof/>
            <w:webHidden/>
          </w:rPr>
          <w:fldChar w:fldCharType="end"/>
        </w:r>
      </w:hyperlink>
    </w:p>
    <w:p w14:paraId="0371B319" w14:textId="3C60028E" w:rsidR="00876FB0" w:rsidRDefault="009901CB">
      <w:pPr>
        <w:pStyle w:val="TableofFigures"/>
        <w:rPr>
          <w:rFonts w:asciiTheme="minorHAnsi" w:eastAsiaTheme="minorEastAsia" w:hAnsiTheme="minorHAnsi" w:cstheme="minorBidi"/>
          <w:noProof/>
          <w:sz w:val="22"/>
          <w:szCs w:val="22"/>
        </w:rPr>
      </w:pPr>
      <w:hyperlink w:anchor="_Toc51675380" w:history="1">
        <w:r w:rsidR="00876FB0" w:rsidRPr="007D355F">
          <w:rPr>
            <w:rStyle w:val="Hyperlink"/>
            <w:noProof/>
          </w:rPr>
          <w:t>Table 9: Reformer heaters cost comparison</w:t>
        </w:r>
        <w:r w:rsidR="00876FB0">
          <w:rPr>
            <w:noProof/>
            <w:webHidden/>
          </w:rPr>
          <w:tab/>
        </w:r>
        <w:r w:rsidR="00876FB0">
          <w:rPr>
            <w:noProof/>
            <w:webHidden/>
          </w:rPr>
          <w:fldChar w:fldCharType="begin"/>
        </w:r>
        <w:r w:rsidR="00876FB0">
          <w:rPr>
            <w:noProof/>
            <w:webHidden/>
          </w:rPr>
          <w:instrText xml:space="preserve"> PAGEREF _Toc51675380 \h </w:instrText>
        </w:r>
        <w:r w:rsidR="00876FB0">
          <w:rPr>
            <w:noProof/>
            <w:webHidden/>
          </w:rPr>
        </w:r>
        <w:r w:rsidR="00876FB0">
          <w:rPr>
            <w:noProof/>
            <w:webHidden/>
          </w:rPr>
          <w:fldChar w:fldCharType="separate"/>
        </w:r>
        <w:r w:rsidR="00876FB0">
          <w:rPr>
            <w:noProof/>
            <w:webHidden/>
          </w:rPr>
          <w:t>47</w:t>
        </w:r>
        <w:r w:rsidR="00876FB0">
          <w:rPr>
            <w:noProof/>
            <w:webHidden/>
          </w:rPr>
          <w:fldChar w:fldCharType="end"/>
        </w:r>
      </w:hyperlink>
    </w:p>
    <w:p w14:paraId="3BF08AF1" w14:textId="3AABA3AE" w:rsidR="00876FB0" w:rsidRDefault="009901CB">
      <w:pPr>
        <w:pStyle w:val="TableofFigures"/>
        <w:rPr>
          <w:rFonts w:asciiTheme="minorHAnsi" w:eastAsiaTheme="minorEastAsia" w:hAnsiTheme="minorHAnsi" w:cstheme="minorBidi"/>
          <w:noProof/>
          <w:sz w:val="22"/>
          <w:szCs w:val="22"/>
        </w:rPr>
      </w:pPr>
      <w:hyperlink w:anchor="_Toc51675381" w:history="1">
        <w:r w:rsidR="00876FB0" w:rsidRPr="007D355F">
          <w:rPr>
            <w:rStyle w:val="Hyperlink"/>
            <w:noProof/>
          </w:rPr>
          <w:t>Table 10: Crude heater cost comparison</w:t>
        </w:r>
        <w:r w:rsidR="00876FB0">
          <w:rPr>
            <w:noProof/>
            <w:webHidden/>
          </w:rPr>
          <w:tab/>
        </w:r>
        <w:r w:rsidR="00876FB0">
          <w:rPr>
            <w:noProof/>
            <w:webHidden/>
          </w:rPr>
          <w:fldChar w:fldCharType="begin"/>
        </w:r>
        <w:r w:rsidR="00876FB0">
          <w:rPr>
            <w:noProof/>
            <w:webHidden/>
          </w:rPr>
          <w:instrText xml:space="preserve"> PAGEREF _Toc51675381 \h </w:instrText>
        </w:r>
        <w:r w:rsidR="00876FB0">
          <w:rPr>
            <w:noProof/>
            <w:webHidden/>
          </w:rPr>
        </w:r>
        <w:r w:rsidR="00876FB0">
          <w:rPr>
            <w:noProof/>
            <w:webHidden/>
          </w:rPr>
          <w:fldChar w:fldCharType="separate"/>
        </w:r>
        <w:r w:rsidR="00876FB0">
          <w:rPr>
            <w:noProof/>
            <w:webHidden/>
          </w:rPr>
          <w:t>47</w:t>
        </w:r>
        <w:r w:rsidR="00876FB0">
          <w:rPr>
            <w:noProof/>
            <w:webHidden/>
          </w:rPr>
          <w:fldChar w:fldCharType="end"/>
        </w:r>
      </w:hyperlink>
    </w:p>
    <w:p w14:paraId="160F169F" w14:textId="159560C5" w:rsidR="00876FB0" w:rsidRDefault="009901CB">
      <w:pPr>
        <w:pStyle w:val="TableofFigures"/>
        <w:rPr>
          <w:rFonts w:asciiTheme="minorHAnsi" w:eastAsiaTheme="minorEastAsia" w:hAnsiTheme="minorHAnsi" w:cstheme="minorBidi"/>
          <w:noProof/>
          <w:sz w:val="22"/>
          <w:szCs w:val="22"/>
        </w:rPr>
      </w:pPr>
      <w:hyperlink w:anchor="_Toc51675382" w:history="1">
        <w:r w:rsidR="00876FB0" w:rsidRPr="007D355F">
          <w:rPr>
            <w:rStyle w:val="Hyperlink"/>
            <w:noProof/>
          </w:rPr>
          <w:t>Table 11: Two reforming furnace #1 (H2 Plant) cost comparison</w:t>
        </w:r>
        <w:r w:rsidR="00876FB0">
          <w:rPr>
            <w:noProof/>
            <w:webHidden/>
          </w:rPr>
          <w:tab/>
        </w:r>
        <w:r w:rsidR="00876FB0">
          <w:rPr>
            <w:noProof/>
            <w:webHidden/>
          </w:rPr>
          <w:fldChar w:fldCharType="begin"/>
        </w:r>
        <w:r w:rsidR="00876FB0">
          <w:rPr>
            <w:noProof/>
            <w:webHidden/>
          </w:rPr>
          <w:instrText xml:space="preserve"> PAGEREF _Toc51675382 \h </w:instrText>
        </w:r>
        <w:r w:rsidR="00876FB0">
          <w:rPr>
            <w:noProof/>
            <w:webHidden/>
          </w:rPr>
        </w:r>
        <w:r w:rsidR="00876FB0">
          <w:rPr>
            <w:noProof/>
            <w:webHidden/>
          </w:rPr>
          <w:fldChar w:fldCharType="separate"/>
        </w:r>
        <w:r w:rsidR="00876FB0">
          <w:rPr>
            <w:noProof/>
            <w:webHidden/>
          </w:rPr>
          <w:t>48</w:t>
        </w:r>
        <w:r w:rsidR="00876FB0">
          <w:rPr>
            <w:noProof/>
            <w:webHidden/>
          </w:rPr>
          <w:fldChar w:fldCharType="end"/>
        </w:r>
      </w:hyperlink>
    </w:p>
    <w:p w14:paraId="5BE387C9" w14:textId="766F0A05" w:rsidR="00876FB0" w:rsidRDefault="009901CB">
      <w:pPr>
        <w:pStyle w:val="TableofFigures"/>
        <w:rPr>
          <w:rFonts w:asciiTheme="minorHAnsi" w:eastAsiaTheme="minorEastAsia" w:hAnsiTheme="minorHAnsi" w:cstheme="minorBidi"/>
          <w:noProof/>
          <w:sz w:val="22"/>
          <w:szCs w:val="22"/>
        </w:rPr>
      </w:pPr>
      <w:hyperlink w:anchor="_Toc51675383" w:history="1">
        <w:r w:rsidR="00876FB0" w:rsidRPr="007D355F">
          <w:rPr>
            <w:rStyle w:val="Hyperlink"/>
            <w:noProof/>
          </w:rPr>
          <w:t>Table 12: Phillips 66 Equipment identified for RACT rule development</w:t>
        </w:r>
        <w:r w:rsidR="00876FB0">
          <w:rPr>
            <w:noProof/>
            <w:webHidden/>
          </w:rPr>
          <w:tab/>
        </w:r>
        <w:r w:rsidR="00876FB0">
          <w:rPr>
            <w:noProof/>
            <w:webHidden/>
          </w:rPr>
          <w:fldChar w:fldCharType="begin"/>
        </w:r>
        <w:r w:rsidR="00876FB0">
          <w:rPr>
            <w:noProof/>
            <w:webHidden/>
          </w:rPr>
          <w:instrText xml:space="preserve"> PAGEREF _Toc51675383 \h </w:instrText>
        </w:r>
        <w:r w:rsidR="00876FB0">
          <w:rPr>
            <w:noProof/>
            <w:webHidden/>
          </w:rPr>
        </w:r>
        <w:r w:rsidR="00876FB0">
          <w:rPr>
            <w:noProof/>
            <w:webHidden/>
          </w:rPr>
          <w:fldChar w:fldCharType="separate"/>
        </w:r>
        <w:r w:rsidR="00876FB0">
          <w:rPr>
            <w:noProof/>
            <w:webHidden/>
          </w:rPr>
          <w:t>49</w:t>
        </w:r>
        <w:r w:rsidR="00876FB0">
          <w:rPr>
            <w:noProof/>
            <w:webHidden/>
          </w:rPr>
          <w:fldChar w:fldCharType="end"/>
        </w:r>
      </w:hyperlink>
    </w:p>
    <w:p w14:paraId="42DD026F" w14:textId="1DA0FE5F" w:rsidR="00876FB0" w:rsidRDefault="009901CB">
      <w:pPr>
        <w:pStyle w:val="TableofFigures"/>
        <w:rPr>
          <w:rFonts w:asciiTheme="minorHAnsi" w:eastAsiaTheme="minorEastAsia" w:hAnsiTheme="minorHAnsi" w:cstheme="minorBidi"/>
          <w:noProof/>
          <w:sz w:val="22"/>
          <w:szCs w:val="22"/>
        </w:rPr>
      </w:pPr>
      <w:hyperlink w:anchor="_Toc51675384" w:history="1">
        <w:r w:rsidR="00876FB0" w:rsidRPr="007D355F">
          <w:rPr>
            <w:rStyle w:val="Hyperlink"/>
            <w:noProof/>
          </w:rPr>
          <w:t>Table 13: Crude heater 1F-1 cost comparison</w:t>
        </w:r>
        <w:r w:rsidR="00876FB0">
          <w:rPr>
            <w:noProof/>
            <w:webHidden/>
          </w:rPr>
          <w:tab/>
        </w:r>
        <w:r w:rsidR="00876FB0">
          <w:rPr>
            <w:noProof/>
            <w:webHidden/>
          </w:rPr>
          <w:fldChar w:fldCharType="begin"/>
        </w:r>
        <w:r w:rsidR="00876FB0">
          <w:rPr>
            <w:noProof/>
            <w:webHidden/>
          </w:rPr>
          <w:instrText xml:space="preserve"> PAGEREF _Toc51675384 \h </w:instrText>
        </w:r>
        <w:r w:rsidR="00876FB0">
          <w:rPr>
            <w:noProof/>
            <w:webHidden/>
          </w:rPr>
        </w:r>
        <w:r w:rsidR="00876FB0">
          <w:rPr>
            <w:noProof/>
            <w:webHidden/>
          </w:rPr>
          <w:fldChar w:fldCharType="separate"/>
        </w:r>
        <w:r w:rsidR="00876FB0">
          <w:rPr>
            <w:noProof/>
            <w:webHidden/>
          </w:rPr>
          <w:t>50</w:t>
        </w:r>
        <w:r w:rsidR="00876FB0">
          <w:rPr>
            <w:noProof/>
            <w:webHidden/>
          </w:rPr>
          <w:fldChar w:fldCharType="end"/>
        </w:r>
      </w:hyperlink>
    </w:p>
    <w:p w14:paraId="33B3430D" w14:textId="6F1FE49B" w:rsidR="00876FB0" w:rsidRDefault="009901CB">
      <w:pPr>
        <w:pStyle w:val="TableofFigures"/>
        <w:rPr>
          <w:rFonts w:asciiTheme="minorHAnsi" w:eastAsiaTheme="minorEastAsia" w:hAnsiTheme="minorHAnsi" w:cstheme="minorBidi"/>
          <w:noProof/>
          <w:sz w:val="22"/>
          <w:szCs w:val="22"/>
        </w:rPr>
      </w:pPr>
      <w:hyperlink w:anchor="_Toc51675385" w:history="1">
        <w:r w:rsidR="00876FB0" w:rsidRPr="007D355F">
          <w:rPr>
            <w:rStyle w:val="Hyperlink"/>
            <w:noProof/>
          </w:rPr>
          <w:t>Table 14: FCCU/CO boiler cost comparison</w:t>
        </w:r>
        <w:r w:rsidR="00876FB0">
          <w:rPr>
            <w:noProof/>
            <w:webHidden/>
          </w:rPr>
          <w:tab/>
        </w:r>
        <w:r w:rsidR="00876FB0">
          <w:rPr>
            <w:noProof/>
            <w:webHidden/>
          </w:rPr>
          <w:fldChar w:fldCharType="begin"/>
        </w:r>
        <w:r w:rsidR="00876FB0">
          <w:rPr>
            <w:noProof/>
            <w:webHidden/>
          </w:rPr>
          <w:instrText xml:space="preserve"> PAGEREF _Toc51675385 \h </w:instrText>
        </w:r>
        <w:r w:rsidR="00876FB0">
          <w:rPr>
            <w:noProof/>
            <w:webHidden/>
          </w:rPr>
        </w:r>
        <w:r w:rsidR="00876FB0">
          <w:rPr>
            <w:noProof/>
            <w:webHidden/>
          </w:rPr>
          <w:fldChar w:fldCharType="separate"/>
        </w:r>
        <w:r w:rsidR="00876FB0">
          <w:rPr>
            <w:noProof/>
            <w:webHidden/>
          </w:rPr>
          <w:t>50</w:t>
        </w:r>
        <w:r w:rsidR="00876FB0">
          <w:rPr>
            <w:noProof/>
            <w:webHidden/>
          </w:rPr>
          <w:fldChar w:fldCharType="end"/>
        </w:r>
      </w:hyperlink>
    </w:p>
    <w:p w14:paraId="7F2024AF" w14:textId="09847963" w:rsidR="00876FB0" w:rsidRDefault="009901CB">
      <w:pPr>
        <w:pStyle w:val="TableofFigures"/>
        <w:rPr>
          <w:rFonts w:asciiTheme="minorHAnsi" w:eastAsiaTheme="minorEastAsia" w:hAnsiTheme="minorHAnsi" w:cstheme="minorBidi"/>
          <w:noProof/>
          <w:sz w:val="22"/>
          <w:szCs w:val="22"/>
        </w:rPr>
      </w:pPr>
      <w:hyperlink w:anchor="_Toc51675386" w:history="1">
        <w:r w:rsidR="00876FB0" w:rsidRPr="007D355F">
          <w:rPr>
            <w:rStyle w:val="Hyperlink"/>
            <w:noProof/>
          </w:rPr>
          <w:t>Table 15: Shell equipment identified for RACT rule development</w:t>
        </w:r>
        <w:r w:rsidR="00876FB0">
          <w:rPr>
            <w:noProof/>
            <w:webHidden/>
          </w:rPr>
          <w:tab/>
        </w:r>
        <w:r w:rsidR="00876FB0">
          <w:rPr>
            <w:noProof/>
            <w:webHidden/>
          </w:rPr>
          <w:fldChar w:fldCharType="begin"/>
        </w:r>
        <w:r w:rsidR="00876FB0">
          <w:rPr>
            <w:noProof/>
            <w:webHidden/>
          </w:rPr>
          <w:instrText xml:space="preserve"> PAGEREF _Toc51675386 \h </w:instrText>
        </w:r>
        <w:r w:rsidR="00876FB0">
          <w:rPr>
            <w:noProof/>
            <w:webHidden/>
          </w:rPr>
        </w:r>
        <w:r w:rsidR="00876FB0">
          <w:rPr>
            <w:noProof/>
            <w:webHidden/>
          </w:rPr>
          <w:fldChar w:fldCharType="separate"/>
        </w:r>
        <w:r w:rsidR="00876FB0">
          <w:rPr>
            <w:noProof/>
            <w:webHidden/>
          </w:rPr>
          <w:t>52</w:t>
        </w:r>
        <w:r w:rsidR="00876FB0">
          <w:rPr>
            <w:noProof/>
            <w:webHidden/>
          </w:rPr>
          <w:fldChar w:fldCharType="end"/>
        </w:r>
      </w:hyperlink>
    </w:p>
    <w:p w14:paraId="0F2C3B0C" w14:textId="3C9DB6AB" w:rsidR="00876FB0" w:rsidRDefault="009901CB">
      <w:pPr>
        <w:pStyle w:val="TableofFigures"/>
        <w:rPr>
          <w:rFonts w:asciiTheme="minorHAnsi" w:eastAsiaTheme="minorEastAsia" w:hAnsiTheme="minorHAnsi" w:cstheme="minorBidi"/>
          <w:noProof/>
          <w:sz w:val="22"/>
          <w:szCs w:val="22"/>
        </w:rPr>
      </w:pPr>
      <w:hyperlink w:anchor="_Toc51675387" w:history="1">
        <w:r w:rsidR="00876FB0" w:rsidRPr="007D355F">
          <w:rPr>
            <w:rStyle w:val="Hyperlink"/>
            <w:noProof/>
          </w:rPr>
          <w:t>Table 16: Boiler #1 Erie City--31G-F1 cost comparison</w:t>
        </w:r>
        <w:r w:rsidR="00876FB0">
          <w:rPr>
            <w:noProof/>
            <w:webHidden/>
          </w:rPr>
          <w:tab/>
        </w:r>
        <w:r w:rsidR="00876FB0">
          <w:rPr>
            <w:noProof/>
            <w:webHidden/>
          </w:rPr>
          <w:fldChar w:fldCharType="begin"/>
        </w:r>
        <w:r w:rsidR="00876FB0">
          <w:rPr>
            <w:noProof/>
            <w:webHidden/>
          </w:rPr>
          <w:instrText xml:space="preserve"> PAGEREF _Toc51675387 \h </w:instrText>
        </w:r>
        <w:r w:rsidR="00876FB0">
          <w:rPr>
            <w:noProof/>
            <w:webHidden/>
          </w:rPr>
        </w:r>
        <w:r w:rsidR="00876FB0">
          <w:rPr>
            <w:noProof/>
            <w:webHidden/>
          </w:rPr>
          <w:fldChar w:fldCharType="separate"/>
        </w:r>
        <w:r w:rsidR="00876FB0">
          <w:rPr>
            <w:noProof/>
            <w:webHidden/>
          </w:rPr>
          <w:t>52</w:t>
        </w:r>
        <w:r w:rsidR="00876FB0">
          <w:rPr>
            <w:noProof/>
            <w:webHidden/>
          </w:rPr>
          <w:fldChar w:fldCharType="end"/>
        </w:r>
      </w:hyperlink>
    </w:p>
    <w:p w14:paraId="2EE1FD5F" w14:textId="5D0E68BC" w:rsidR="00876FB0" w:rsidRDefault="009901CB">
      <w:pPr>
        <w:pStyle w:val="TableofFigures"/>
        <w:rPr>
          <w:rFonts w:asciiTheme="minorHAnsi" w:eastAsiaTheme="minorEastAsia" w:hAnsiTheme="minorHAnsi" w:cstheme="minorBidi"/>
          <w:noProof/>
          <w:sz w:val="22"/>
          <w:szCs w:val="22"/>
        </w:rPr>
      </w:pPr>
      <w:hyperlink w:anchor="_Toc51675388" w:history="1">
        <w:r w:rsidR="00876FB0" w:rsidRPr="007D355F">
          <w:rPr>
            <w:rStyle w:val="Hyperlink"/>
            <w:noProof/>
          </w:rPr>
          <w:t>Table 17: FCCU/CO boiler cost comparison</w:t>
        </w:r>
        <w:r w:rsidR="00876FB0">
          <w:rPr>
            <w:noProof/>
            <w:webHidden/>
          </w:rPr>
          <w:tab/>
        </w:r>
        <w:r w:rsidR="00876FB0">
          <w:rPr>
            <w:noProof/>
            <w:webHidden/>
          </w:rPr>
          <w:fldChar w:fldCharType="begin"/>
        </w:r>
        <w:r w:rsidR="00876FB0">
          <w:rPr>
            <w:noProof/>
            <w:webHidden/>
          </w:rPr>
          <w:instrText xml:space="preserve"> PAGEREF _Toc51675388 \h </w:instrText>
        </w:r>
        <w:r w:rsidR="00876FB0">
          <w:rPr>
            <w:noProof/>
            <w:webHidden/>
          </w:rPr>
        </w:r>
        <w:r w:rsidR="00876FB0">
          <w:rPr>
            <w:noProof/>
            <w:webHidden/>
          </w:rPr>
          <w:fldChar w:fldCharType="separate"/>
        </w:r>
        <w:r w:rsidR="00876FB0">
          <w:rPr>
            <w:noProof/>
            <w:webHidden/>
          </w:rPr>
          <w:t>53</w:t>
        </w:r>
        <w:r w:rsidR="00876FB0">
          <w:rPr>
            <w:noProof/>
            <w:webHidden/>
          </w:rPr>
          <w:fldChar w:fldCharType="end"/>
        </w:r>
      </w:hyperlink>
    </w:p>
    <w:p w14:paraId="2EC20054" w14:textId="0B4824B7" w:rsidR="00876FB0" w:rsidRDefault="009901CB">
      <w:pPr>
        <w:pStyle w:val="TableofFigures"/>
        <w:rPr>
          <w:rFonts w:asciiTheme="minorHAnsi" w:eastAsiaTheme="minorEastAsia" w:hAnsiTheme="minorHAnsi" w:cstheme="minorBidi"/>
          <w:noProof/>
          <w:sz w:val="22"/>
          <w:szCs w:val="22"/>
        </w:rPr>
      </w:pPr>
      <w:hyperlink w:anchor="_Toc51675389" w:history="1">
        <w:r w:rsidR="00876FB0" w:rsidRPr="007D355F">
          <w:rPr>
            <w:rStyle w:val="Hyperlink"/>
            <w:noProof/>
          </w:rPr>
          <w:t>Table 18: CRU #2 cost comparison</w:t>
        </w:r>
        <w:r w:rsidR="00876FB0">
          <w:rPr>
            <w:noProof/>
            <w:webHidden/>
          </w:rPr>
          <w:tab/>
        </w:r>
        <w:r w:rsidR="00876FB0">
          <w:rPr>
            <w:noProof/>
            <w:webHidden/>
          </w:rPr>
          <w:fldChar w:fldCharType="begin"/>
        </w:r>
        <w:r w:rsidR="00876FB0">
          <w:rPr>
            <w:noProof/>
            <w:webHidden/>
          </w:rPr>
          <w:instrText xml:space="preserve"> PAGEREF _Toc51675389 \h </w:instrText>
        </w:r>
        <w:r w:rsidR="00876FB0">
          <w:rPr>
            <w:noProof/>
            <w:webHidden/>
          </w:rPr>
        </w:r>
        <w:r w:rsidR="00876FB0">
          <w:rPr>
            <w:noProof/>
            <w:webHidden/>
          </w:rPr>
          <w:fldChar w:fldCharType="separate"/>
        </w:r>
        <w:r w:rsidR="00876FB0">
          <w:rPr>
            <w:noProof/>
            <w:webHidden/>
          </w:rPr>
          <w:t>53</w:t>
        </w:r>
        <w:r w:rsidR="00876FB0">
          <w:rPr>
            <w:noProof/>
            <w:webHidden/>
          </w:rPr>
          <w:fldChar w:fldCharType="end"/>
        </w:r>
      </w:hyperlink>
    </w:p>
    <w:p w14:paraId="63934FAF" w14:textId="70205CEB" w:rsidR="00876FB0" w:rsidRDefault="009901CB">
      <w:pPr>
        <w:pStyle w:val="TableofFigures"/>
        <w:rPr>
          <w:rFonts w:asciiTheme="minorHAnsi" w:eastAsiaTheme="minorEastAsia" w:hAnsiTheme="minorHAnsi" w:cstheme="minorBidi"/>
          <w:noProof/>
          <w:sz w:val="22"/>
          <w:szCs w:val="22"/>
        </w:rPr>
      </w:pPr>
      <w:hyperlink w:anchor="_Toc51675390" w:history="1">
        <w:r w:rsidR="00876FB0" w:rsidRPr="007D355F">
          <w:rPr>
            <w:rStyle w:val="Hyperlink"/>
            <w:noProof/>
          </w:rPr>
          <w:t>Table 19: Tesoro emission rates pre - and post - Best Available Retrofit Technology</w:t>
        </w:r>
        <w:r w:rsidR="00876FB0">
          <w:rPr>
            <w:noProof/>
            <w:webHidden/>
          </w:rPr>
          <w:tab/>
        </w:r>
        <w:r w:rsidR="00876FB0">
          <w:rPr>
            <w:noProof/>
            <w:webHidden/>
          </w:rPr>
          <w:fldChar w:fldCharType="begin"/>
        </w:r>
        <w:r w:rsidR="00876FB0">
          <w:rPr>
            <w:noProof/>
            <w:webHidden/>
          </w:rPr>
          <w:instrText xml:space="preserve"> PAGEREF _Toc51675390 \h </w:instrText>
        </w:r>
        <w:r w:rsidR="00876FB0">
          <w:rPr>
            <w:noProof/>
            <w:webHidden/>
          </w:rPr>
        </w:r>
        <w:r w:rsidR="00876FB0">
          <w:rPr>
            <w:noProof/>
            <w:webHidden/>
          </w:rPr>
          <w:fldChar w:fldCharType="separate"/>
        </w:r>
        <w:r w:rsidR="00876FB0">
          <w:rPr>
            <w:noProof/>
            <w:webHidden/>
          </w:rPr>
          <w:t>55</w:t>
        </w:r>
        <w:r w:rsidR="00876FB0">
          <w:rPr>
            <w:noProof/>
            <w:webHidden/>
          </w:rPr>
          <w:fldChar w:fldCharType="end"/>
        </w:r>
      </w:hyperlink>
    </w:p>
    <w:p w14:paraId="2564DD1E" w14:textId="53DC1954" w:rsidR="00876FB0" w:rsidRDefault="009901CB">
      <w:pPr>
        <w:pStyle w:val="TableofFigures"/>
        <w:rPr>
          <w:rFonts w:asciiTheme="minorHAnsi" w:eastAsiaTheme="minorEastAsia" w:hAnsiTheme="minorHAnsi" w:cstheme="minorBidi"/>
          <w:noProof/>
          <w:sz w:val="22"/>
          <w:szCs w:val="22"/>
        </w:rPr>
      </w:pPr>
      <w:hyperlink w:anchor="_Toc51675391" w:history="1">
        <w:r w:rsidR="00876FB0" w:rsidRPr="007D355F">
          <w:rPr>
            <w:rStyle w:val="Hyperlink"/>
            <w:noProof/>
          </w:rPr>
          <w:t>Table 20: Tesoro equipment identified for RACT rule development</w:t>
        </w:r>
        <w:r w:rsidR="00876FB0">
          <w:rPr>
            <w:noProof/>
            <w:webHidden/>
          </w:rPr>
          <w:tab/>
        </w:r>
        <w:r w:rsidR="00876FB0">
          <w:rPr>
            <w:noProof/>
            <w:webHidden/>
          </w:rPr>
          <w:fldChar w:fldCharType="begin"/>
        </w:r>
        <w:r w:rsidR="00876FB0">
          <w:rPr>
            <w:noProof/>
            <w:webHidden/>
          </w:rPr>
          <w:instrText xml:space="preserve"> PAGEREF _Toc51675391 \h </w:instrText>
        </w:r>
        <w:r w:rsidR="00876FB0">
          <w:rPr>
            <w:noProof/>
            <w:webHidden/>
          </w:rPr>
        </w:r>
        <w:r w:rsidR="00876FB0">
          <w:rPr>
            <w:noProof/>
            <w:webHidden/>
          </w:rPr>
          <w:fldChar w:fldCharType="separate"/>
        </w:r>
        <w:r w:rsidR="00876FB0">
          <w:rPr>
            <w:noProof/>
            <w:webHidden/>
          </w:rPr>
          <w:t>56</w:t>
        </w:r>
        <w:r w:rsidR="00876FB0">
          <w:rPr>
            <w:noProof/>
            <w:webHidden/>
          </w:rPr>
          <w:fldChar w:fldCharType="end"/>
        </w:r>
      </w:hyperlink>
    </w:p>
    <w:p w14:paraId="29839AFF" w14:textId="229F6D06" w:rsidR="00876FB0" w:rsidRDefault="009901CB">
      <w:pPr>
        <w:pStyle w:val="TableofFigures"/>
        <w:rPr>
          <w:rFonts w:asciiTheme="minorHAnsi" w:eastAsiaTheme="minorEastAsia" w:hAnsiTheme="minorHAnsi" w:cstheme="minorBidi"/>
          <w:noProof/>
          <w:sz w:val="22"/>
          <w:szCs w:val="22"/>
        </w:rPr>
      </w:pPr>
      <w:hyperlink w:anchor="_Toc51675392" w:history="1">
        <w:r w:rsidR="00876FB0" w:rsidRPr="007D355F">
          <w:rPr>
            <w:rStyle w:val="Hyperlink"/>
            <w:noProof/>
          </w:rPr>
          <w:t>Table 21: FCCU cost comparison</w:t>
        </w:r>
        <w:r w:rsidR="00876FB0">
          <w:rPr>
            <w:noProof/>
            <w:webHidden/>
          </w:rPr>
          <w:tab/>
        </w:r>
        <w:r w:rsidR="00876FB0">
          <w:rPr>
            <w:noProof/>
            <w:webHidden/>
          </w:rPr>
          <w:fldChar w:fldCharType="begin"/>
        </w:r>
        <w:r w:rsidR="00876FB0">
          <w:rPr>
            <w:noProof/>
            <w:webHidden/>
          </w:rPr>
          <w:instrText xml:space="preserve"> PAGEREF _Toc51675392 \h </w:instrText>
        </w:r>
        <w:r w:rsidR="00876FB0">
          <w:rPr>
            <w:noProof/>
            <w:webHidden/>
          </w:rPr>
        </w:r>
        <w:r w:rsidR="00876FB0">
          <w:rPr>
            <w:noProof/>
            <w:webHidden/>
          </w:rPr>
          <w:fldChar w:fldCharType="separate"/>
        </w:r>
        <w:r w:rsidR="00876FB0">
          <w:rPr>
            <w:noProof/>
            <w:webHidden/>
          </w:rPr>
          <w:t>57</w:t>
        </w:r>
        <w:r w:rsidR="00876FB0">
          <w:rPr>
            <w:noProof/>
            <w:webHidden/>
          </w:rPr>
          <w:fldChar w:fldCharType="end"/>
        </w:r>
      </w:hyperlink>
    </w:p>
    <w:p w14:paraId="38DDECF9" w14:textId="52CCA44E" w:rsidR="00876FB0" w:rsidRDefault="009901CB">
      <w:pPr>
        <w:pStyle w:val="TableofFigures"/>
        <w:rPr>
          <w:rFonts w:asciiTheme="minorHAnsi" w:eastAsiaTheme="minorEastAsia" w:hAnsiTheme="minorHAnsi" w:cstheme="minorBidi"/>
          <w:noProof/>
          <w:sz w:val="22"/>
          <w:szCs w:val="22"/>
        </w:rPr>
      </w:pPr>
      <w:hyperlink w:anchor="_Toc51675393" w:history="1">
        <w:r w:rsidR="00876FB0" w:rsidRPr="007D355F">
          <w:rPr>
            <w:rStyle w:val="Hyperlink"/>
            <w:noProof/>
          </w:rPr>
          <w:t>Table 22: Crude heater cost comparison</w:t>
        </w:r>
        <w:r w:rsidR="00876FB0">
          <w:rPr>
            <w:noProof/>
            <w:webHidden/>
          </w:rPr>
          <w:tab/>
        </w:r>
        <w:r w:rsidR="00876FB0">
          <w:rPr>
            <w:noProof/>
            <w:webHidden/>
          </w:rPr>
          <w:fldChar w:fldCharType="begin"/>
        </w:r>
        <w:r w:rsidR="00876FB0">
          <w:rPr>
            <w:noProof/>
            <w:webHidden/>
          </w:rPr>
          <w:instrText xml:space="preserve"> PAGEREF _Toc51675393 \h </w:instrText>
        </w:r>
        <w:r w:rsidR="00876FB0">
          <w:rPr>
            <w:noProof/>
            <w:webHidden/>
          </w:rPr>
        </w:r>
        <w:r w:rsidR="00876FB0">
          <w:rPr>
            <w:noProof/>
            <w:webHidden/>
          </w:rPr>
          <w:fldChar w:fldCharType="separate"/>
        </w:r>
        <w:r w:rsidR="00876FB0">
          <w:rPr>
            <w:noProof/>
            <w:webHidden/>
          </w:rPr>
          <w:t>57</w:t>
        </w:r>
        <w:r w:rsidR="00876FB0">
          <w:rPr>
            <w:noProof/>
            <w:webHidden/>
          </w:rPr>
          <w:fldChar w:fldCharType="end"/>
        </w:r>
      </w:hyperlink>
    </w:p>
    <w:p w14:paraId="34D8D91C" w14:textId="298D1D62" w:rsidR="00876FB0" w:rsidRDefault="009901CB">
      <w:pPr>
        <w:pStyle w:val="TableofFigures"/>
        <w:rPr>
          <w:rFonts w:asciiTheme="minorHAnsi" w:eastAsiaTheme="minorEastAsia" w:hAnsiTheme="minorHAnsi" w:cstheme="minorBidi"/>
          <w:noProof/>
          <w:sz w:val="22"/>
          <w:szCs w:val="22"/>
        </w:rPr>
      </w:pPr>
      <w:hyperlink w:anchor="_Toc51675394" w:history="1">
        <w:r w:rsidR="00876FB0" w:rsidRPr="007D355F">
          <w:rPr>
            <w:rStyle w:val="Hyperlink"/>
            <w:noProof/>
          </w:rPr>
          <w:t>Table 23: Heater H11 cost comparison</w:t>
        </w:r>
        <w:r w:rsidR="00876FB0">
          <w:rPr>
            <w:noProof/>
            <w:webHidden/>
          </w:rPr>
          <w:tab/>
        </w:r>
        <w:r w:rsidR="00876FB0">
          <w:rPr>
            <w:noProof/>
            <w:webHidden/>
          </w:rPr>
          <w:fldChar w:fldCharType="begin"/>
        </w:r>
        <w:r w:rsidR="00876FB0">
          <w:rPr>
            <w:noProof/>
            <w:webHidden/>
          </w:rPr>
          <w:instrText xml:space="preserve"> PAGEREF _Toc51675394 \h </w:instrText>
        </w:r>
        <w:r w:rsidR="00876FB0">
          <w:rPr>
            <w:noProof/>
            <w:webHidden/>
          </w:rPr>
        </w:r>
        <w:r w:rsidR="00876FB0">
          <w:rPr>
            <w:noProof/>
            <w:webHidden/>
          </w:rPr>
          <w:fldChar w:fldCharType="separate"/>
        </w:r>
        <w:r w:rsidR="00876FB0">
          <w:rPr>
            <w:noProof/>
            <w:webHidden/>
          </w:rPr>
          <w:t>59</w:t>
        </w:r>
        <w:r w:rsidR="00876FB0">
          <w:rPr>
            <w:noProof/>
            <w:webHidden/>
          </w:rPr>
          <w:fldChar w:fldCharType="end"/>
        </w:r>
      </w:hyperlink>
    </w:p>
    <w:p w14:paraId="5B165CB1" w14:textId="1EC4D46F" w:rsidR="0099371C" w:rsidRDefault="0099371C">
      <w:pPr>
        <w:spacing w:after="0"/>
        <w:sectPr w:rsidR="0099371C" w:rsidSect="00957CF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fldChar w:fldCharType="end"/>
      </w:r>
    </w:p>
    <w:p w14:paraId="4231E52D" w14:textId="5254EE65" w:rsidR="00A63680" w:rsidRDefault="00A63680" w:rsidP="00A63680">
      <w:pPr>
        <w:pStyle w:val="Heading2"/>
      </w:pPr>
      <w:bookmarkStart w:id="11" w:name="_Toc49932149"/>
      <w:bookmarkStart w:id="12" w:name="_Toc51673339"/>
      <w:bookmarkStart w:id="13" w:name="_Toc51674155"/>
      <w:bookmarkStart w:id="14" w:name="_Toc51674395"/>
      <w:r>
        <w:lastRenderedPageBreak/>
        <w:t>Figures</w:t>
      </w:r>
      <w:bookmarkEnd w:id="11"/>
      <w:bookmarkEnd w:id="12"/>
      <w:bookmarkEnd w:id="13"/>
      <w:bookmarkEnd w:id="14"/>
    </w:p>
    <w:p w14:paraId="114744F0" w14:textId="2C2C7FDC" w:rsidR="00573B63" w:rsidRDefault="0099371C">
      <w:pPr>
        <w:pStyle w:val="TableofFigures"/>
        <w:rPr>
          <w:rFonts w:asciiTheme="minorHAnsi" w:eastAsiaTheme="minorEastAsia" w:hAnsiTheme="minorHAnsi" w:cstheme="minorBidi"/>
          <w:noProof/>
          <w:sz w:val="22"/>
          <w:szCs w:val="22"/>
        </w:rPr>
      </w:pPr>
      <w:r>
        <w:rPr>
          <w:b/>
        </w:rPr>
        <w:fldChar w:fldCharType="begin"/>
      </w:r>
      <w:r>
        <w:rPr>
          <w:b/>
        </w:rPr>
        <w:instrText xml:space="preserve"> TOC \h \z \c "Figure" </w:instrText>
      </w:r>
      <w:r>
        <w:rPr>
          <w:b/>
        </w:rPr>
        <w:fldChar w:fldCharType="separate"/>
      </w:r>
      <w:hyperlink w:anchor="_Toc49930943" w:history="1">
        <w:r w:rsidR="00573B63" w:rsidRPr="001B1C26">
          <w:rPr>
            <w:rStyle w:val="Hyperlink"/>
            <w:noProof/>
          </w:rPr>
          <w:t>Figure 1:Emission reductions of WA chemical pulp mills</w:t>
        </w:r>
        <w:r w:rsidR="00573B63">
          <w:rPr>
            <w:noProof/>
            <w:webHidden/>
          </w:rPr>
          <w:tab/>
        </w:r>
        <w:r w:rsidR="00573B63">
          <w:rPr>
            <w:noProof/>
            <w:webHidden/>
          </w:rPr>
          <w:fldChar w:fldCharType="begin"/>
        </w:r>
        <w:r w:rsidR="00573B63">
          <w:rPr>
            <w:noProof/>
            <w:webHidden/>
          </w:rPr>
          <w:instrText xml:space="preserve"> PAGEREF _Toc49930943 \h </w:instrText>
        </w:r>
        <w:r w:rsidR="00573B63">
          <w:rPr>
            <w:noProof/>
            <w:webHidden/>
          </w:rPr>
        </w:r>
        <w:r w:rsidR="00573B63">
          <w:rPr>
            <w:noProof/>
            <w:webHidden/>
          </w:rPr>
          <w:fldChar w:fldCharType="separate"/>
        </w:r>
        <w:r w:rsidR="00BB7101">
          <w:rPr>
            <w:noProof/>
            <w:webHidden/>
          </w:rPr>
          <w:t>37</w:t>
        </w:r>
        <w:r w:rsidR="00573B63">
          <w:rPr>
            <w:noProof/>
            <w:webHidden/>
          </w:rPr>
          <w:fldChar w:fldCharType="end"/>
        </w:r>
      </w:hyperlink>
    </w:p>
    <w:p w14:paraId="2CFA2029" w14:textId="463FC27D" w:rsidR="0099371C" w:rsidRDefault="0099371C" w:rsidP="00573B63">
      <w:pPr>
        <w:pStyle w:val="Paragraph"/>
      </w:pPr>
      <w:r>
        <w:rPr>
          <w:b/>
        </w:rPr>
        <w:fldChar w:fldCharType="end"/>
      </w:r>
      <w:r>
        <w:br w:type="page"/>
      </w:r>
    </w:p>
    <w:p w14:paraId="23A4396D" w14:textId="77777777" w:rsidR="00860623" w:rsidRPr="000B0644" w:rsidRDefault="00860623" w:rsidP="00B931A4">
      <w:pPr>
        <w:pStyle w:val="Heading2"/>
      </w:pPr>
      <w:bookmarkStart w:id="15" w:name="_Toc51673340"/>
      <w:bookmarkStart w:id="16" w:name="_Toc51674396"/>
      <w:bookmarkEnd w:id="4"/>
      <w:bookmarkEnd w:id="5"/>
      <w:r w:rsidRPr="000B0644">
        <w:lastRenderedPageBreak/>
        <w:t>Four-Factor Analysis</w:t>
      </w:r>
      <w:bookmarkEnd w:id="15"/>
      <w:bookmarkEnd w:id="16"/>
    </w:p>
    <w:p w14:paraId="6E3BDCCB" w14:textId="77777777" w:rsidR="00860623" w:rsidRPr="000B0644" w:rsidRDefault="00860623" w:rsidP="00EB7B55">
      <w:pPr>
        <w:pStyle w:val="Heading3"/>
      </w:pPr>
      <w:bookmarkStart w:id="17" w:name="_Toc49523828"/>
      <w:bookmarkStart w:id="18" w:name="_Toc49863849"/>
      <w:bookmarkStart w:id="19" w:name="_Toc51673341"/>
      <w:bookmarkStart w:id="20" w:name="_Toc51674397"/>
      <w:r w:rsidRPr="000B0644">
        <w:t>Introduction</w:t>
      </w:r>
      <w:bookmarkEnd w:id="17"/>
      <w:bookmarkEnd w:id="18"/>
      <w:bookmarkEnd w:id="19"/>
      <w:bookmarkEnd w:id="20"/>
    </w:p>
    <w:p w14:paraId="0350EE62" w14:textId="305665CC" w:rsidR="00B440CF" w:rsidRDefault="00860623" w:rsidP="001A1D59">
      <w:pPr>
        <w:pStyle w:val="Paragraph"/>
      </w:pPr>
      <w:r w:rsidRPr="000B0644">
        <w:t>The Regional Haze Rule (RHR) requires that states</w:t>
      </w:r>
      <w:r w:rsidR="00B440CF">
        <w:t>:</w:t>
      </w:r>
    </w:p>
    <w:p w14:paraId="6C41BA5A" w14:textId="025F12A7" w:rsidR="00B440CF" w:rsidRPr="001A1D59" w:rsidRDefault="00B440CF" w:rsidP="000B74BC">
      <w:pPr>
        <w:pStyle w:val="Paragraph"/>
      </w:pPr>
      <w:r w:rsidRPr="001A1D59">
        <w:t xml:space="preserve">Consider the costs of compliance, the time necessary for compliance, the energy and non-air quality environmental impacts of compliance, and the remaining useful life of any potentially affected sources, and include a demonstration showing how these factors were taken into consideration in selecting the goal </w:t>
      </w:r>
      <w:r w:rsidR="001A1D59">
        <w:t>(</w:t>
      </w:r>
      <w:r w:rsidRPr="001A1D59">
        <w:t>40 CFR 51.308(d)(1)(i)(A)</w:t>
      </w:r>
      <w:r w:rsidR="001A1D59">
        <w:t>).</w:t>
      </w:r>
    </w:p>
    <w:p w14:paraId="14D26B2B" w14:textId="2A5381BF" w:rsidR="00E15801" w:rsidRPr="000B0644" w:rsidRDefault="00E15801" w:rsidP="001A1D59">
      <w:pPr>
        <w:pStyle w:val="Paragraph"/>
      </w:pPr>
      <w:r>
        <w:t>This four factor analysis is used to identify controls necessary to meet the reasonable progress goals for each mandatory Class 1 area</w:t>
      </w:r>
      <w:r w:rsidR="004A5FF0">
        <w:t xml:space="preserve"> </w:t>
      </w:r>
      <w:r w:rsidR="000760D6">
        <w:t>(CIA)</w:t>
      </w:r>
      <w:r>
        <w:t xml:space="preserve">. Sources for analysis were identified according to the Q/d screening methodology described below. </w:t>
      </w:r>
    </w:p>
    <w:p w14:paraId="113DEDAD" w14:textId="4B010637" w:rsidR="00860623" w:rsidRPr="000B0644" w:rsidRDefault="00AB31C1" w:rsidP="001A1D59">
      <w:pPr>
        <w:pStyle w:val="Paragraph"/>
      </w:pPr>
      <w:r>
        <w:t>Although area</w:t>
      </w:r>
      <w:r w:rsidRPr="000B0644">
        <w:t xml:space="preserve"> </w:t>
      </w:r>
      <w:r w:rsidR="00860623" w:rsidRPr="000B0644">
        <w:t xml:space="preserve">and mobile sources </w:t>
      </w:r>
      <w:r>
        <w:t>may</w:t>
      </w:r>
      <w:r w:rsidRPr="000B0644">
        <w:t xml:space="preserve"> contribute to RH causing emissions </w:t>
      </w:r>
      <w:r>
        <w:t>they are not identified by</w:t>
      </w:r>
      <w:r w:rsidR="00E15801" w:rsidRPr="000B0644">
        <w:t xml:space="preserve"> the Q/d </w:t>
      </w:r>
      <w:r>
        <w:t>screening</w:t>
      </w:r>
      <w:r w:rsidR="00E15801">
        <w:t xml:space="preserve">. </w:t>
      </w:r>
      <w:r w:rsidR="00860623" w:rsidRPr="000B0644">
        <w:t>These sources include, but are not limited to, international emissions, mobile sources (motor vehicles, airplanes, ships, trains, etc.), and residential wood smoke</w:t>
      </w:r>
      <w:r w:rsidR="00E15801" w:rsidRPr="000B0644">
        <w:t>.</w:t>
      </w:r>
      <w:r w:rsidR="00EB52D8">
        <w:t xml:space="preserve"> </w:t>
      </w:r>
      <w:r w:rsidR="004F349C">
        <w:t xml:space="preserve">We discuss these </w:t>
      </w:r>
      <w:r w:rsidR="0099617F">
        <w:t xml:space="preserve">sources </w:t>
      </w:r>
      <w:r w:rsidR="0099617F" w:rsidRPr="000B0644">
        <w:t>in</w:t>
      </w:r>
      <w:r w:rsidR="00860623" w:rsidRPr="000B0644">
        <w:t xml:space="preserve"> Chapter 10</w:t>
      </w:r>
      <w:r w:rsidR="004F349C">
        <w:t>:</w:t>
      </w:r>
      <w:r w:rsidR="00860623" w:rsidRPr="000B0644">
        <w:t xml:space="preserve"> Long-term Strategy.</w:t>
      </w:r>
    </w:p>
    <w:p w14:paraId="0FD3CF21" w14:textId="66723027" w:rsidR="00860623" w:rsidRPr="000B0644" w:rsidRDefault="00860623" w:rsidP="005478DE">
      <w:pPr>
        <w:pStyle w:val="Paragraph"/>
      </w:pPr>
      <w:r w:rsidRPr="000B0644">
        <w:rPr>
          <w:bCs/>
        </w:rPr>
        <w:t xml:space="preserve">The </w:t>
      </w:r>
      <w:r w:rsidRPr="000B0644">
        <w:t>Interagency Monitoring of Protected Visual Environments</w:t>
      </w:r>
      <w:r w:rsidRPr="000B0644">
        <w:rPr>
          <w:bCs/>
        </w:rPr>
        <w:t xml:space="preserve"> (</w:t>
      </w:r>
      <w:r w:rsidRPr="000B0644">
        <w:t>IMPROVE) monitoring data shows that ammonium sulfate ((NH</w:t>
      </w:r>
      <w:r w:rsidRPr="000B0644">
        <w:rPr>
          <w:vertAlign w:val="subscript"/>
        </w:rPr>
        <w:t>4</w:t>
      </w:r>
      <w:r w:rsidRPr="000B0644">
        <w:t>)</w:t>
      </w:r>
      <w:r w:rsidRPr="000B0644">
        <w:rPr>
          <w:vertAlign w:val="subscript"/>
        </w:rPr>
        <w:t>2</w:t>
      </w:r>
      <w:r w:rsidRPr="000B0644">
        <w:t>SO</w:t>
      </w:r>
      <w:r w:rsidRPr="000B0644">
        <w:rPr>
          <w:vertAlign w:val="subscript"/>
        </w:rPr>
        <w:t>4</w:t>
      </w:r>
      <w:r w:rsidRPr="000B0644">
        <w:t>) and ammonium nitrate (NH</w:t>
      </w:r>
      <w:r w:rsidRPr="000B0644">
        <w:rPr>
          <w:vertAlign w:val="subscript"/>
        </w:rPr>
        <w:t>4</w:t>
      </w:r>
      <w:r w:rsidRPr="000B0644">
        <w:t>NO</w:t>
      </w:r>
      <w:r w:rsidRPr="000B0644">
        <w:rPr>
          <w:vertAlign w:val="subscript"/>
        </w:rPr>
        <w:t>3</w:t>
      </w:r>
      <w:r w:rsidRPr="000B0644">
        <w:t>) are two of the most significant pollutants impairing visibility in Washington’s CIAs.</w:t>
      </w:r>
      <w:r w:rsidR="005478DE">
        <w:t xml:space="preserve"> </w:t>
      </w:r>
      <w:r w:rsidR="005478DE" w:rsidRPr="000B0644">
        <w:t>(NH</w:t>
      </w:r>
      <w:r w:rsidR="005478DE" w:rsidRPr="000B0644">
        <w:rPr>
          <w:vertAlign w:val="subscript"/>
        </w:rPr>
        <w:t>4</w:t>
      </w:r>
      <w:r w:rsidR="005478DE" w:rsidRPr="000B0644">
        <w:t>)</w:t>
      </w:r>
      <w:r w:rsidR="005478DE" w:rsidRPr="000B0644">
        <w:rPr>
          <w:vertAlign w:val="subscript"/>
        </w:rPr>
        <w:t>2</w:t>
      </w:r>
      <w:r w:rsidR="005478DE" w:rsidRPr="000B0644">
        <w:t>SO</w:t>
      </w:r>
      <w:r w:rsidR="005478DE" w:rsidRPr="000B0644">
        <w:rPr>
          <w:vertAlign w:val="subscript"/>
        </w:rPr>
        <w:t>4</w:t>
      </w:r>
      <w:r w:rsidR="005478DE">
        <w:rPr>
          <w:vertAlign w:val="subscript"/>
        </w:rPr>
        <w:t xml:space="preserve"> </w:t>
      </w:r>
      <w:r w:rsidR="005478DE">
        <w:t xml:space="preserve">is primarily </w:t>
      </w:r>
      <w:r w:rsidR="005478DE" w:rsidRPr="005478DE">
        <w:t xml:space="preserve">from point sources and offshore sources (shipping traffic), and NH4NO3 is primarily from point and mobile sources, with slight contributions from non-point sources. </w:t>
      </w:r>
      <w:r w:rsidR="00D53D4C">
        <w:t>After the intial screening for Q/d, t</w:t>
      </w:r>
      <w:r w:rsidR="005478DE" w:rsidRPr="005478DE">
        <w:t>he four factor analysis in this chapter addresses point sources of nigrogen oxides (NOx) and sulfur dioxides (SO2) emissions</w:t>
      </w:r>
    </w:p>
    <w:p w14:paraId="4BBDF131" w14:textId="649DBABF" w:rsidR="00860623" w:rsidRPr="000B0644" w:rsidRDefault="00860623" w:rsidP="001A1D59">
      <w:pPr>
        <w:pStyle w:val="Paragraph"/>
      </w:pPr>
      <w:r w:rsidRPr="000B0644">
        <w:t xml:space="preserve">The RHR </w:t>
      </w:r>
      <w:r w:rsidR="004F349C">
        <w:t>provides no</w:t>
      </w:r>
      <w:r w:rsidRPr="000B0644">
        <w:t xml:space="preserve"> specific mechanisms to enforce emission reductions. Ecology relies on current Washington State laws and regulations to implement any reductions identified as reasonable in the FFA. </w:t>
      </w:r>
      <w:r w:rsidR="00502DCE">
        <w:t>We have identified f</w:t>
      </w:r>
      <w:r w:rsidRPr="000B0644">
        <w:t xml:space="preserve">our potential </w:t>
      </w:r>
      <w:r w:rsidR="0099617F" w:rsidRPr="000B0644">
        <w:t xml:space="preserve">mechanisms </w:t>
      </w:r>
      <w:r w:rsidR="00067820">
        <w:t xml:space="preserve">for achieving </w:t>
      </w:r>
      <w:r w:rsidRPr="000B0644">
        <w:t>identified emission reductions</w:t>
      </w:r>
      <w:r w:rsidR="00502DCE">
        <w:t>:</w:t>
      </w:r>
    </w:p>
    <w:p w14:paraId="50DAB439" w14:textId="145E53FB" w:rsidR="00860623" w:rsidRPr="009836BE" w:rsidRDefault="00860623" w:rsidP="00F46750">
      <w:pPr>
        <w:pStyle w:val="BulletedList"/>
        <w:rPr>
          <w:shd w:val="clear" w:color="auto" w:fill="FFFFFF"/>
        </w:rPr>
      </w:pPr>
      <w:r w:rsidRPr="00F46750">
        <w:rPr>
          <w:shd w:val="clear" w:color="auto" w:fill="FFFFFF"/>
        </w:rPr>
        <w:t>Agreed order (AO) – a legally binding Order that requires agreement between the parties.</w:t>
      </w:r>
    </w:p>
    <w:p w14:paraId="7140DD39" w14:textId="5A4B11C8" w:rsidR="00860623" w:rsidRPr="009836BE" w:rsidRDefault="00860623" w:rsidP="00F46750">
      <w:pPr>
        <w:pStyle w:val="BulletedList"/>
        <w:rPr>
          <w:shd w:val="clear" w:color="auto" w:fill="FFFFFF"/>
        </w:rPr>
      </w:pPr>
      <w:r w:rsidRPr="00F46750">
        <w:rPr>
          <w:shd w:val="clear" w:color="auto" w:fill="FFFFFF"/>
        </w:rPr>
        <w:t xml:space="preserve">Compliance action – legal action that </w:t>
      </w:r>
      <w:r w:rsidR="0099617F">
        <w:rPr>
          <w:shd w:val="clear" w:color="auto" w:fill="FFFFFF"/>
        </w:rPr>
        <w:t xml:space="preserve">the state </w:t>
      </w:r>
      <w:r w:rsidRPr="009836BE">
        <w:rPr>
          <w:shd w:val="clear" w:color="auto" w:fill="FFFFFF"/>
        </w:rPr>
        <w:t xml:space="preserve">can </w:t>
      </w:r>
      <w:r w:rsidR="0099617F">
        <w:rPr>
          <w:shd w:val="clear" w:color="auto" w:fill="FFFFFF"/>
        </w:rPr>
        <w:t>take</w:t>
      </w:r>
      <w:r w:rsidRPr="009836BE">
        <w:rPr>
          <w:shd w:val="clear" w:color="auto" w:fill="FFFFFF"/>
        </w:rPr>
        <w:t xml:space="preserve"> if permit violations occur</w:t>
      </w:r>
      <w:r w:rsidR="001A7CDA">
        <w:rPr>
          <w:shd w:val="clear" w:color="auto" w:fill="FFFFFF"/>
        </w:rPr>
        <w:t>; the action must</w:t>
      </w:r>
      <w:r w:rsidRPr="009836BE">
        <w:rPr>
          <w:shd w:val="clear" w:color="auto" w:fill="FFFFFF"/>
        </w:rPr>
        <w:t xml:space="preserve"> be appropriate to the violation.</w:t>
      </w:r>
    </w:p>
    <w:p w14:paraId="6073D0D6" w14:textId="77777777" w:rsidR="00860623" w:rsidRPr="009836BE" w:rsidRDefault="00860623" w:rsidP="00F46750">
      <w:pPr>
        <w:pStyle w:val="BulletedList"/>
        <w:rPr>
          <w:shd w:val="clear" w:color="auto" w:fill="FFFFFF"/>
        </w:rPr>
      </w:pPr>
      <w:r w:rsidRPr="00F46750">
        <w:rPr>
          <w:shd w:val="clear" w:color="auto" w:fill="FFFFFF"/>
        </w:rPr>
        <w:t>Permit modification – permittee initiated change to their facility</w:t>
      </w:r>
    </w:p>
    <w:p w14:paraId="561F88C4" w14:textId="4236A56B" w:rsidR="00860623" w:rsidRPr="009836BE" w:rsidRDefault="00860623" w:rsidP="00F46750">
      <w:pPr>
        <w:pStyle w:val="BulletedList"/>
        <w:rPr>
          <w:shd w:val="clear" w:color="auto" w:fill="FFFFFF"/>
        </w:rPr>
      </w:pPr>
      <w:r w:rsidRPr="00F46750">
        <w:rPr>
          <w:shd w:val="clear" w:color="auto" w:fill="FFFFFF"/>
        </w:rPr>
        <w:lastRenderedPageBreak/>
        <w:t>Reasonable available control technology (RACT) – Revised Code of Washington (RCW) 70.94.154</w:t>
      </w:r>
      <w:r w:rsidR="0014232A">
        <w:rPr>
          <w:rStyle w:val="FootnoteReference"/>
          <w:shd w:val="clear" w:color="auto" w:fill="FFFFFF"/>
        </w:rPr>
        <w:footnoteReference w:id="2"/>
      </w:r>
    </w:p>
    <w:p w14:paraId="12CEBE0B" w14:textId="5C33D3F3" w:rsidR="00860623" w:rsidRPr="000B0644" w:rsidRDefault="00860623" w:rsidP="001A1D59">
      <w:pPr>
        <w:pStyle w:val="Paragraph"/>
      </w:pPr>
      <w:r w:rsidRPr="000B0644">
        <w:t xml:space="preserve">The first three options require agreement and actions from the sources. The RACT process </w:t>
      </w:r>
      <w:r w:rsidR="0014232A">
        <w:t xml:space="preserve">may </w:t>
      </w:r>
      <w:r w:rsidRPr="000B0644">
        <w:t xml:space="preserve">require rulemaking. Ecology prefers to use permit modifications and AOs to achieve emission reductions. Ecology will use the RACT process to initiate reasonable emission reductions when the sources and Ecology </w:t>
      </w:r>
      <w:r w:rsidR="009E6992">
        <w:t>disagree</w:t>
      </w:r>
      <w:r w:rsidRPr="000B0644">
        <w:t>.</w:t>
      </w:r>
    </w:p>
    <w:p w14:paraId="205D629F" w14:textId="4B570AF6" w:rsidR="00860623" w:rsidRPr="000B0644" w:rsidRDefault="00860623" w:rsidP="001A1D59">
      <w:pPr>
        <w:pStyle w:val="Paragraph"/>
      </w:pPr>
      <w:r w:rsidRPr="000B0644">
        <w:t xml:space="preserve">The RACT process in state law requires a detailed evaluation of the characteristics of each individual source or source category when more than three individual sources exist in a source category. The RACT process also requires an evaluation of the efficacy of installation of various control equipment. The result of the process is </w:t>
      </w:r>
      <w:r w:rsidR="0014232A">
        <w:t xml:space="preserve">(typically) </w:t>
      </w:r>
      <w:r w:rsidRPr="000B0644">
        <w:t xml:space="preserve">a rule requiring all units in the defined source category to achieve the rule defined emission limitations. The rule allows for a specified timeframe to upgrade controls to meet the new or revised emission standards. The state RACT law includes an economic hardship provision. </w:t>
      </w:r>
      <w:r w:rsidR="009E6992">
        <w:t>This allows a</w:t>
      </w:r>
      <w:r w:rsidRPr="000B0644">
        <w:t xml:space="preserve"> company that demonstrates it meets criteria for economic </w:t>
      </w:r>
      <w:r w:rsidR="0099617F" w:rsidRPr="000B0644">
        <w:t>hardship either</w:t>
      </w:r>
      <w:r w:rsidRPr="000B0644">
        <w:t xml:space="preserve"> an extended timeframe to achieve compliance or a source specific emission limitation.</w:t>
      </w:r>
    </w:p>
    <w:p w14:paraId="399D3133" w14:textId="14005A05" w:rsidR="00860623" w:rsidRPr="000B0644" w:rsidRDefault="00860623" w:rsidP="001A1D59">
      <w:pPr>
        <w:pStyle w:val="Paragraph"/>
      </w:pPr>
      <w:r w:rsidRPr="000B0644">
        <w:t>The timeframe to issue a new rule using the state’s RACT process will extend past the submission date of this RH State Implementation Plan (SIP). The RACT rule implementation period would follow the conclusion of rulemaking. Therefore</w:t>
      </w:r>
      <w:r w:rsidR="009E6992">
        <w:t>,</w:t>
      </w:r>
      <w:r w:rsidRPr="000B0644">
        <w:t xml:space="preserve"> the identified emission reductions might not take affect during this RH implementation period</w:t>
      </w:r>
      <w:r w:rsidR="00AF0811">
        <w:t>.</w:t>
      </w:r>
      <w:r w:rsidRPr="000B0644">
        <w:t xml:space="preserve"> </w:t>
      </w:r>
      <w:r w:rsidR="00AF0811">
        <w:t>They</w:t>
      </w:r>
      <w:r w:rsidR="00AF0811" w:rsidRPr="000B0644">
        <w:t xml:space="preserve"> could</w:t>
      </w:r>
      <w:r w:rsidRPr="000B0644">
        <w:t xml:space="preserve"> occur in a future RH implementation period.</w:t>
      </w:r>
    </w:p>
    <w:p w14:paraId="5E753749" w14:textId="77777777" w:rsidR="00860623" w:rsidRPr="000B0644" w:rsidRDefault="00860623" w:rsidP="00EB7B55">
      <w:pPr>
        <w:pStyle w:val="Heading3"/>
      </w:pPr>
      <w:bookmarkStart w:id="21" w:name="_Toc49523829"/>
      <w:bookmarkStart w:id="22" w:name="_Toc49863850"/>
      <w:bookmarkStart w:id="23" w:name="_Toc51673342"/>
      <w:bookmarkStart w:id="24" w:name="_Toc51674398"/>
      <w:r w:rsidRPr="000B0644">
        <w:t>Source screening analysis (Q/d)</w:t>
      </w:r>
      <w:bookmarkEnd w:id="21"/>
      <w:bookmarkEnd w:id="22"/>
      <w:bookmarkEnd w:id="23"/>
      <w:bookmarkEnd w:id="24"/>
    </w:p>
    <w:p w14:paraId="389CB89C" w14:textId="6C36EF3D" w:rsidR="00F34A47" w:rsidRDefault="005D03E7" w:rsidP="001A1D59">
      <w:pPr>
        <w:pStyle w:val="Paragraph"/>
      </w:pPr>
      <w:r w:rsidRPr="001A1D59">
        <w:t xml:space="preserve">Q/d screening considers the ratio of tons of </w:t>
      </w:r>
      <w:r w:rsidR="00F34A47">
        <w:t xml:space="preserve">visibility-impacting </w:t>
      </w:r>
      <w:r w:rsidRPr="001A1D59">
        <w:t xml:space="preserve">emissions produced by a source (Q) to its distance from the nearest Class 1 area (d). </w:t>
      </w:r>
    </w:p>
    <w:p w14:paraId="51D6C97B" w14:textId="2B2F3A93" w:rsidR="00860623" w:rsidRPr="000B0644" w:rsidRDefault="00860623" w:rsidP="001A1D59">
      <w:pPr>
        <w:pStyle w:val="Paragraph"/>
      </w:pPr>
      <w:r>
        <w:t>E</w:t>
      </w:r>
      <w:r w:rsidRPr="000B0644">
        <w:t xml:space="preserve">cology used Washington’s 2014 emission inventory (EI) data to </w:t>
      </w:r>
      <w:r w:rsidR="004F0EB9">
        <w:t>calculate Q values</w:t>
      </w:r>
      <w:r w:rsidR="00893EA1">
        <w:t xml:space="preserve">. </w:t>
      </w:r>
      <w:r w:rsidR="00A465B5">
        <w:t xml:space="preserve">The 2014 EI was the used as it was the </w:t>
      </w:r>
      <w:r w:rsidR="005478DE">
        <w:t xml:space="preserve">year with the </w:t>
      </w:r>
      <w:r w:rsidR="00A465B5">
        <w:t xml:space="preserve">most recent certified EI </w:t>
      </w:r>
      <w:r w:rsidR="005478DE">
        <w:t xml:space="preserve">data </w:t>
      </w:r>
      <w:r w:rsidR="00A465B5">
        <w:t xml:space="preserve">when RH screening started. </w:t>
      </w:r>
      <w:r w:rsidRPr="000B0644">
        <w:t xml:space="preserve">The </w:t>
      </w:r>
      <w:r w:rsidR="004F0EB9">
        <w:t xml:space="preserve">reported emissions of </w:t>
      </w:r>
      <w:r w:rsidRPr="000B0644">
        <w:t>compounds that contribute to RH (NO</w:t>
      </w:r>
      <w:r w:rsidRPr="000B0644">
        <w:rPr>
          <w:vertAlign w:val="subscript"/>
        </w:rPr>
        <w:t>X</w:t>
      </w:r>
      <w:r w:rsidRPr="000B0644">
        <w:t>, PM</w:t>
      </w:r>
      <w:r w:rsidR="005478DE">
        <w:rPr>
          <w:vertAlign w:val="subscript"/>
        </w:rPr>
        <w:t>10</w:t>
      </w:r>
      <w:r w:rsidRPr="000B0644">
        <w:t>, SO</w:t>
      </w:r>
      <w:r w:rsidRPr="000B0644">
        <w:rPr>
          <w:vertAlign w:val="subscript"/>
        </w:rPr>
        <w:t>2</w:t>
      </w:r>
      <w:r w:rsidRPr="000B0644">
        <w:t>, and SO</w:t>
      </w:r>
      <w:r w:rsidRPr="000B0644">
        <w:rPr>
          <w:vertAlign w:val="subscript"/>
        </w:rPr>
        <w:t>4</w:t>
      </w:r>
      <w:r w:rsidRPr="000B0644">
        <w:t>) were summed (Q) for each source since these compounds contribute significantly to visibility in Washington’s CIAs. We also calculated the shortest distance (d) from the source to the nearest CIA. The goal of this strategy is to target sources with larger Q/d values representing larger assumed visibility impacts.</w:t>
      </w:r>
    </w:p>
    <w:p w14:paraId="2EA9BC1A" w14:textId="624DA879" w:rsidR="00AF0811" w:rsidRDefault="00AF0811" w:rsidP="001A1D59">
      <w:pPr>
        <w:pStyle w:val="Paragraph"/>
      </w:pPr>
      <w:r>
        <w:lastRenderedPageBreak/>
        <w:t>Ecology screened t</w:t>
      </w:r>
      <w:r w:rsidR="00860623" w:rsidRPr="000B0644">
        <w:t xml:space="preserve">he </w:t>
      </w:r>
      <w:r w:rsidR="0099617F" w:rsidRPr="000B0644">
        <w:t>data by</w:t>
      </w:r>
      <w:r w:rsidR="00860623" w:rsidRPr="000B0644">
        <w:t xml:space="preserve"> calculating the Q/d value for each source and ranking them from greatest Q/d to smallest Q/d. The resulting Q/d values were evaluated using two different EPA approved processes (EPA Draft RHR Guidance </w:t>
      </w:r>
      <w:r w:rsidR="0015564F">
        <w:t>2016</w:t>
      </w:r>
      <w:r w:rsidR="00860623" w:rsidRPr="000B0644">
        <w:t xml:space="preserve">).The first process looked at sources with a Q/d of 10 </w:t>
      </w:r>
      <w:r w:rsidR="004078DD">
        <w:t xml:space="preserve">or greater, </w:t>
      </w:r>
      <w:r w:rsidR="00860623" w:rsidRPr="000B0644">
        <w:t>and the second process looked at the sources that were in the top 80</w:t>
      </w:r>
      <w:r>
        <w:t xml:space="preserve"> percent </w:t>
      </w:r>
      <w:r w:rsidR="00860623" w:rsidRPr="000B0644">
        <w:t>of the</w:t>
      </w:r>
      <w:r w:rsidR="00860623" w:rsidRPr="00B53EEB">
        <w:t xml:space="preserve"> </w:t>
      </w:r>
      <w:r w:rsidR="00860623" w:rsidRPr="000B0644">
        <w:t>sum</w:t>
      </w:r>
      <w:r w:rsidR="00860623">
        <w:t>med</w:t>
      </w:r>
      <w:r w:rsidR="00860623" w:rsidRPr="000B0644">
        <w:t xml:space="preserve"> Q/d values. The sum of all Q/d scores is 855 and 80</w:t>
      </w:r>
      <w:r>
        <w:t xml:space="preserve"> percent</w:t>
      </w:r>
      <w:r w:rsidR="00860623" w:rsidRPr="000B0644">
        <w:t xml:space="preserve"> of 855 is 685.</w:t>
      </w:r>
      <w:r w:rsidR="00860623">
        <w:t xml:space="preserve"> </w:t>
      </w:r>
    </w:p>
    <w:p w14:paraId="37FC44FB" w14:textId="1AB93B47" w:rsidR="00860623" w:rsidRPr="000B0644" w:rsidRDefault="000C1AF9" w:rsidP="001A1D59">
      <w:pPr>
        <w:pStyle w:val="Paragraph"/>
      </w:pPr>
      <w:r w:rsidRPr="000C1AF9">
        <w:t>[APPENDIX XX]</w:t>
      </w:r>
      <w:r w:rsidR="00AF0811" w:rsidRPr="000C1AF9">
        <w:t xml:space="preserve"> contains</w:t>
      </w:r>
      <w:r w:rsidR="00AF0811">
        <w:t xml:space="preserve"> t</w:t>
      </w:r>
      <w:r w:rsidR="00860623" w:rsidRPr="000B0644">
        <w:t xml:space="preserve">he full 2014 </w:t>
      </w:r>
      <w:r w:rsidR="001A66BC">
        <w:t xml:space="preserve">Washington </w:t>
      </w:r>
      <w:r w:rsidR="00860623">
        <w:t>emission inventory</w:t>
      </w:r>
      <w:r w:rsidR="00860623" w:rsidRPr="009836BE">
        <w:t>.</w:t>
      </w:r>
      <w:r w:rsidR="00860623">
        <w:t xml:space="preserve"> </w:t>
      </w:r>
      <w:r w:rsidR="001A66BC">
        <w:t xml:space="preserve">Ecology maintains the </w:t>
      </w:r>
      <w:r w:rsidR="00860623">
        <w:t xml:space="preserve">inventory </w:t>
      </w:r>
      <w:r w:rsidR="001A66BC">
        <w:t xml:space="preserve">which </w:t>
      </w:r>
      <w:r w:rsidR="00860623">
        <w:t xml:space="preserve">contains all of the major sources in the state and a partial inventory of non-major sources. </w:t>
      </w:r>
      <w:r w:rsidR="001A66BC">
        <w:t>T</w:t>
      </w:r>
      <w:r w:rsidR="00860623">
        <w:t>he inventory do</w:t>
      </w:r>
      <w:r w:rsidR="001A66BC">
        <w:t>es</w:t>
      </w:r>
      <w:r w:rsidR="00860623">
        <w:t xml:space="preserve"> not represent all non-major sources in the state, but only the sources the local air agencies report to Ecology.</w:t>
      </w:r>
    </w:p>
    <w:p w14:paraId="63EF2E18" w14:textId="0DC7A440" w:rsidR="00860623" w:rsidRPr="000B0644" w:rsidRDefault="00860623" w:rsidP="001A1D59">
      <w:pPr>
        <w:pStyle w:val="Paragraph"/>
      </w:pPr>
      <w:r>
        <w:t>The screening</w:t>
      </w:r>
      <w:r w:rsidRPr="000B0644">
        <w:t xml:space="preserve"> yielded a subset of 20 sources (17 major sources and 3 non-major sources) where the 80% Q/d score was equal to 6.7. The 6.7 value is lower than the Q/d threshold of 10. The 80</w:t>
      </w:r>
      <w:r w:rsidR="00AF0811">
        <w:t xml:space="preserve"> percent</w:t>
      </w:r>
      <w:r w:rsidRPr="000B0644">
        <w:t xml:space="preserve"> Q/d value yielded a larger number of sources</w:t>
      </w:r>
      <w:r w:rsidR="00226C61">
        <w:t xml:space="preserve"> and is more conservative</w:t>
      </w:r>
      <w:r w:rsidRPr="000B0644">
        <w:t>, so</w:t>
      </w:r>
      <w:r w:rsidR="007856F3">
        <w:t xml:space="preserve"> we used</w:t>
      </w:r>
      <w:r w:rsidRPr="000B0644">
        <w:t xml:space="preserve"> the 80</w:t>
      </w:r>
      <w:r w:rsidR="00AF0811">
        <w:t xml:space="preserve"> percent</w:t>
      </w:r>
      <w:r w:rsidRPr="000B0644">
        <w:t xml:space="preserve"> Q/d value of </w:t>
      </w:r>
      <w:r w:rsidR="0099617F" w:rsidRPr="000B0644">
        <w:t>6.7 as</w:t>
      </w:r>
      <w:r w:rsidRPr="000B0644">
        <w:t xml:space="preserve"> the threshold for which </w:t>
      </w:r>
      <w:r w:rsidR="007856F3">
        <w:t xml:space="preserve">we would evaluate </w:t>
      </w:r>
      <w:r w:rsidR="0099617F" w:rsidRPr="000B0644">
        <w:t>sources using</w:t>
      </w:r>
      <w:r w:rsidRPr="000B0644">
        <w:t xml:space="preserve"> FFA.</w:t>
      </w:r>
    </w:p>
    <w:p w14:paraId="69C8318C" w14:textId="435EB65D" w:rsidR="00860623" w:rsidRPr="000B0644" w:rsidRDefault="00860623" w:rsidP="001A1D59">
      <w:pPr>
        <w:pStyle w:val="Paragraph"/>
      </w:pPr>
      <w:r w:rsidRPr="000B0644">
        <w:t>Further evaluation of the data shows that one oil refinery is below the 80</w:t>
      </w:r>
      <w:r w:rsidR="00DE00D7">
        <w:t xml:space="preserve"> percent</w:t>
      </w:r>
      <w:r w:rsidRPr="000B0644">
        <w:t xml:space="preserve"> Q/d threshold because of its small size</w:t>
      </w:r>
      <w:r>
        <w:t xml:space="preserve"> and lower emissions</w:t>
      </w:r>
      <w:r w:rsidRPr="000B0644">
        <w:t xml:space="preserve">. </w:t>
      </w:r>
      <w:r w:rsidR="00DE00D7">
        <w:t>We included t</w:t>
      </w:r>
      <w:r w:rsidRPr="000B0644">
        <w:t xml:space="preserve">his </w:t>
      </w:r>
      <w:r w:rsidR="0099617F" w:rsidRPr="000B0644">
        <w:t>facility in</w:t>
      </w:r>
      <w:r w:rsidRPr="000B0644">
        <w:t xml:space="preserve"> the FFA </w:t>
      </w:r>
      <w:r w:rsidR="00DE00D7">
        <w:t xml:space="preserve">in order to </w:t>
      </w:r>
      <w:r w:rsidR="0099617F">
        <w:t xml:space="preserve">evaluate </w:t>
      </w:r>
      <w:r w:rsidR="00EF6488">
        <w:t>all</w:t>
      </w:r>
      <w:r w:rsidRPr="000B0644">
        <w:t xml:space="preserve"> facilities </w:t>
      </w:r>
      <w:r w:rsidR="00EF6488">
        <w:t xml:space="preserve">in the same emission catagery </w:t>
      </w:r>
      <w:r w:rsidR="00DE00D7">
        <w:t xml:space="preserve">concurrently. </w:t>
      </w:r>
      <w:r w:rsidRPr="00B53EEB">
        <w:t>Table</w:t>
      </w:r>
      <w:r w:rsidRPr="000B0644">
        <w:t xml:space="preserve"> 1 shows the facilities that </w:t>
      </w:r>
      <w:r w:rsidR="00D94DC0">
        <w:t>Ecology</w:t>
      </w:r>
      <w:r w:rsidRPr="000B0644">
        <w:t xml:space="preserve"> screened using the Q/d 80</w:t>
      </w:r>
      <w:r w:rsidR="00DE00D7">
        <w:t xml:space="preserve"> percent</w:t>
      </w:r>
      <w:r w:rsidRPr="000B0644">
        <w:t xml:space="preserve"> threshold.</w:t>
      </w:r>
    </w:p>
    <w:p w14:paraId="4021B81A" w14:textId="23C0E0C5" w:rsidR="00860623" w:rsidRPr="000B0644" w:rsidRDefault="00860623" w:rsidP="001A1D59">
      <w:pPr>
        <w:pStyle w:val="Paragraph"/>
      </w:pPr>
      <w:r w:rsidRPr="000B0644">
        <w:t xml:space="preserve">The sources in </w:t>
      </w:r>
      <w:r w:rsidRPr="00B53EEB">
        <w:t>Table 1</w:t>
      </w:r>
      <w:r w:rsidRPr="000B0644">
        <w:t xml:space="preserve"> contain </w:t>
      </w:r>
      <w:r w:rsidR="00D94DC0">
        <w:t>three</w:t>
      </w:r>
      <w:r w:rsidRPr="000B0644">
        <w:t xml:space="preserve"> non-major sources. Two of these sources have emission values nearly an order of magnitude less than the facilities with similar Q/d values. The high Q/d value is because the facilities are close to a CIA, resulting in a small d value. Because we want to focus on the largest emitters of RH producing compounds, we removed those non-major sources from analysis and only looked at major sources.</w:t>
      </w:r>
    </w:p>
    <w:p w14:paraId="68A09B07" w14:textId="415B16A7" w:rsidR="00860623" w:rsidRPr="000B0644" w:rsidRDefault="00860623" w:rsidP="001A1D59">
      <w:pPr>
        <w:pStyle w:val="Paragraph"/>
      </w:pPr>
      <w:r w:rsidRPr="000B0644">
        <w:t>We screened the</w:t>
      </w:r>
      <w:r>
        <w:t xml:space="preserve"> </w:t>
      </w:r>
      <w:r w:rsidRPr="000B0644">
        <w:t xml:space="preserve">major </w:t>
      </w:r>
      <w:r>
        <w:t xml:space="preserve">only </w:t>
      </w:r>
      <w:r w:rsidRPr="000B0644">
        <w:t xml:space="preserve">sources using the same parameters as the initial screening </w:t>
      </w:r>
      <w:r>
        <w:t xml:space="preserve">with the results </w:t>
      </w:r>
      <w:r w:rsidRPr="000B0644">
        <w:t xml:space="preserve">shown in Table 2.The sum of all major Q/d values was 756. The difference of 99 from the 855 Q/d value above is a </w:t>
      </w:r>
      <w:r>
        <w:t xml:space="preserve">direct </w:t>
      </w:r>
      <w:r w:rsidRPr="000B0644">
        <w:t xml:space="preserve">result of the </w:t>
      </w:r>
      <w:r>
        <w:t xml:space="preserve">removing from consideration </w:t>
      </w:r>
      <w:r w:rsidR="0099617F">
        <w:t xml:space="preserve">the </w:t>
      </w:r>
      <w:r w:rsidR="0099617F" w:rsidRPr="000B0644">
        <w:t>non</w:t>
      </w:r>
      <w:r w:rsidRPr="000B0644">
        <w:t>-major sources and represents a change of 11.5</w:t>
      </w:r>
      <w:r w:rsidR="00D94DC0">
        <w:t xml:space="preserve"> percent</w:t>
      </w:r>
      <w:r w:rsidRPr="000B0644">
        <w:t xml:space="preserve">. </w:t>
      </w:r>
      <w:r w:rsidR="00D94DC0">
        <w:t>Eighty percent</w:t>
      </w:r>
      <w:r w:rsidRPr="000B0644">
        <w:t xml:space="preserve"> of the Q/d sum for major sources is 605. This</w:t>
      </w:r>
      <w:r>
        <w:t xml:space="preserve"> </w:t>
      </w:r>
      <w:r w:rsidRPr="000B0644">
        <w:t xml:space="preserve">does not include all of the Q/d values greater than 10, so </w:t>
      </w:r>
      <w:r w:rsidR="00D94DC0">
        <w:t xml:space="preserve">we used </w:t>
      </w:r>
      <w:r w:rsidR="009836BE">
        <w:t>a Q/d value of ten or greater</w:t>
      </w:r>
      <w:r w:rsidRPr="000B0644">
        <w:t xml:space="preserve"> for this threshold for a FFA</w:t>
      </w:r>
      <w:r w:rsidR="00226C61">
        <w:t xml:space="preserve"> as it is more conservative</w:t>
      </w:r>
      <w:r w:rsidRPr="000B0644">
        <w:t>.</w:t>
      </w:r>
    </w:p>
    <w:p w14:paraId="746856B9" w14:textId="1833FC96" w:rsidR="00860623" w:rsidRPr="000B0644" w:rsidRDefault="00860623" w:rsidP="001A1D59">
      <w:pPr>
        <w:pStyle w:val="Paragraph"/>
      </w:pPr>
      <w:r>
        <w:t xml:space="preserve">From </w:t>
      </w:r>
      <w:r w:rsidR="00796E09">
        <w:t xml:space="preserve">the </w:t>
      </w:r>
      <w:r>
        <w:t xml:space="preserve">second evaluation of </w:t>
      </w:r>
      <w:r w:rsidRPr="000B0644">
        <w:t xml:space="preserve">the 2014 inventory of all major sources, </w:t>
      </w:r>
      <w:r w:rsidR="009C7941">
        <w:t xml:space="preserve">we removed </w:t>
      </w:r>
      <w:r w:rsidRPr="000B0644">
        <w:t>1,121 non-major sources facilities (~90% of sources)</w:t>
      </w:r>
      <w:r w:rsidR="009C7941">
        <w:t xml:space="preserve"> </w:t>
      </w:r>
      <w:r>
        <w:t xml:space="preserve">from consideration </w:t>
      </w:r>
      <w:r w:rsidRPr="000B0644">
        <w:t xml:space="preserve">and only </w:t>
      </w:r>
      <w:r w:rsidR="009C7941">
        <w:t xml:space="preserve">evaluated </w:t>
      </w:r>
      <w:r w:rsidRPr="000B0644">
        <w:t>the 119 major sources.</w:t>
      </w:r>
      <w:r>
        <w:t xml:space="preserve"> </w:t>
      </w:r>
      <w:r w:rsidR="00464E13">
        <w:t>We</w:t>
      </w:r>
      <w:r w:rsidR="009836BE" w:rsidDel="002C3341">
        <w:t xml:space="preserve"> </w:t>
      </w:r>
      <w:r w:rsidR="009836BE">
        <w:t>focus on major sources</w:t>
      </w:r>
      <w:r w:rsidRPr="000B0644">
        <w:t xml:space="preserve"> because they represent 10</w:t>
      </w:r>
      <w:r w:rsidR="009C7941">
        <w:t xml:space="preserve"> percent</w:t>
      </w:r>
      <w:r w:rsidRPr="000B0644">
        <w:t xml:space="preserve"> of all sources, but contribute 88</w:t>
      </w:r>
      <w:r w:rsidR="009C7941">
        <w:t xml:space="preserve"> percent</w:t>
      </w:r>
      <w:r w:rsidRPr="000B0644">
        <w:t xml:space="preserve"> of the total Q/d value.</w:t>
      </w:r>
    </w:p>
    <w:p w14:paraId="61D3E8B9" w14:textId="7BDFDF87" w:rsidR="00860623" w:rsidRPr="000B0644" w:rsidRDefault="00860623" w:rsidP="001A1D59">
      <w:pPr>
        <w:pStyle w:val="Paragraph"/>
      </w:pPr>
      <w:r w:rsidRPr="000B0644">
        <w:t xml:space="preserve">The screening of </w:t>
      </w:r>
      <w:r w:rsidR="00226C61">
        <w:t xml:space="preserve">only </w:t>
      </w:r>
      <w:r w:rsidRPr="000B0644">
        <w:t xml:space="preserve">major sources with a Q/d ≥ 10 yields a list of 16 sources. </w:t>
      </w:r>
      <w:r w:rsidR="00402134">
        <w:t>We included t</w:t>
      </w:r>
      <w:r w:rsidRPr="000B0644">
        <w:t>wo sources with a Q/d ≤ 10</w:t>
      </w:r>
      <w:r w:rsidR="00226C61">
        <w:t xml:space="preserve"> with </w:t>
      </w:r>
      <w:r w:rsidRPr="000B0644">
        <w:t>the same facility categories as selected facilities (Boise Paper is a paperboard mill and US Oil is an oil refinery</w:t>
      </w:r>
      <w:r w:rsidR="00AD3B90" w:rsidRPr="000B0644">
        <w:t>)</w:t>
      </w:r>
      <w:r w:rsidR="00226C61">
        <w:t>. These facilities were added to ensure all the facilities in a selected source category were selected for evaluation.</w:t>
      </w:r>
      <w:r w:rsidR="00226C61" w:rsidRPr="000B0644" w:rsidDel="00226C61">
        <w:t xml:space="preserve"> </w:t>
      </w:r>
    </w:p>
    <w:p w14:paraId="1993E23E" w14:textId="25A432F4" w:rsidR="00860623" w:rsidRPr="000B0644" w:rsidRDefault="00860623" w:rsidP="001A1D59">
      <w:pPr>
        <w:pStyle w:val="Paragraph"/>
      </w:pPr>
      <w:r w:rsidRPr="000B0644">
        <w:lastRenderedPageBreak/>
        <w:t xml:space="preserve">Ecology selected to </w:t>
      </w:r>
      <w:r w:rsidR="00032636">
        <w:t xml:space="preserve">perform a FFA on </w:t>
      </w:r>
      <w:r w:rsidRPr="000B0644">
        <w:t>only the major facilities. This</w:t>
      </w:r>
      <w:r>
        <w:t xml:space="preserve"> </w:t>
      </w:r>
      <w:r w:rsidRPr="000B0644">
        <w:t>allows Ecology to focus on analyzing the 10</w:t>
      </w:r>
      <w:r w:rsidR="003A4B54">
        <w:t xml:space="preserve"> percent</w:t>
      </w:r>
      <w:r w:rsidRPr="000B0644">
        <w:t xml:space="preserve"> of sources that contribute 88</w:t>
      </w:r>
      <w:r w:rsidR="003A4B54">
        <w:t xml:space="preserve"> percent</w:t>
      </w:r>
      <w:r w:rsidRPr="000B0644">
        <w:t xml:space="preserve"> of the </w:t>
      </w:r>
      <w:r w:rsidR="00032636">
        <w:t>evaluated RH values.</w:t>
      </w:r>
      <w:r w:rsidRPr="000B0644">
        <w:t>. This focus on RH contributions provide</w:t>
      </w:r>
      <w:r w:rsidR="00EB7B55">
        <w:t>s</w:t>
      </w:r>
      <w:r w:rsidRPr="000B0644">
        <w:t xml:space="preserve"> the greatest potential for RH reductions. </w:t>
      </w:r>
    </w:p>
    <w:p w14:paraId="214DF938" w14:textId="77777777" w:rsidR="00FF4355" w:rsidRDefault="00FF4355" w:rsidP="007A4AD8">
      <w:pPr>
        <w:pStyle w:val="Paragraph"/>
        <w:sectPr w:rsidR="00FF4355" w:rsidSect="0099371C">
          <w:type w:val="continuous"/>
          <w:pgSz w:w="12240" w:h="15840"/>
          <w:pgMar w:top="1440" w:right="1440" w:bottom="1440" w:left="1440" w:header="720" w:footer="720" w:gutter="0"/>
          <w:cols w:space="720"/>
          <w:docGrid w:linePitch="360"/>
        </w:sectPr>
      </w:pPr>
    </w:p>
    <w:p w14:paraId="58724E87" w14:textId="38F2542B" w:rsidR="00F00714" w:rsidRPr="00810C9B" w:rsidRDefault="00F00714" w:rsidP="00396A5E">
      <w:pPr>
        <w:pStyle w:val="Caption"/>
        <w:keepNext/>
        <w:spacing w:after="0"/>
      </w:pPr>
      <w:bookmarkStart w:id="25" w:name="_Toc51675372"/>
      <w:r w:rsidRPr="00810C9B">
        <w:lastRenderedPageBreak/>
        <w:t xml:space="preserve">Table </w:t>
      </w:r>
      <w:fldSimple w:instr=" SEQ Table \* ARABIC ">
        <w:r w:rsidR="00396A5E" w:rsidRPr="00810C9B">
          <w:t>1</w:t>
        </w:r>
      </w:fldSimple>
      <w:r w:rsidR="00396A5E" w:rsidRPr="00810C9B">
        <w:t>:</w:t>
      </w:r>
      <w:r w:rsidR="00BF51D2" w:rsidRPr="00810C9B">
        <w:t xml:space="preserve"> Q/d analysis</w:t>
      </w:r>
      <w:r w:rsidR="009A61BD" w:rsidRPr="00810C9B">
        <w:t xml:space="preserve"> major and non-major sources</w:t>
      </w:r>
      <w:bookmarkEnd w:id="25"/>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816"/>
        <w:gridCol w:w="1012"/>
        <w:gridCol w:w="999"/>
        <w:gridCol w:w="767"/>
        <w:gridCol w:w="1305"/>
        <w:gridCol w:w="889"/>
        <w:gridCol w:w="767"/>
        <w:gridCol w:w="889"/>
        <w:gridCol w:w="849"/>
        <w:gridCol w:w="1611"/>
        <w:gridCol w:w="1109"/>
      </w:tblGrid>
      <w:tr w:rsidR="00284C18" w:rsidRPr="00F00714" w14:paraId="44CE7695" w14:textId="77777777" w:rsidTr="00284C18">
        <w:trPr>
          <w:cantSplit/>
          <w:trHeight w:val="1296"/>
          <w:tblHeader/>
        </w:trPr>
        <w:tc>
          <w:tcPr>
            <w:tcW w:w="670" w:type="pct"/>
            <w:vAlign w:val="center"/>
            <w:hideMark/>
          </w:tcPr>
          <w:p w14:paraId="15FBD009" w14:textId="77777777" w:rsidR="00284C18" w:rsidRPr="00F00714" w:rsidRDefault="00284C18" w:rsidP="00284C18">
            <w:pPr>
              <w:pStyle w:val="TableParagraph"/>
              <w:rPr>
                <w:b/>
              </w:rPr>
            </w:pPr>
            <w:r w:rsidRPr="00F00714">
              <w:rPr>
                <w:b/>
              </w:rPr>
              <w:t>Facility Site Name</w:t>
            </w:r>
          </w:p>
        </w:tc>
        <w:tc>
          <w:tcPr>
            <w:tcW w:w="321" w:type="pct"/>
            <w:vAlign w:val="center"/>
            <w:hideMark/>
          </w:tcPr>
          <w:p w14:paraId="7868A429" w14:textId="77777777" w:rsidR="00284C18" w:rsidRPr="00F00714" w:rsidRDefault="00284C18" w:rsidP="00284C18">
            <w:pPr>
              <w:pStyle w:val="TableParagraph"/>
              <w:rPr>
                <w:b/>
              </w:rPr>
            </w:pPr>
            <w:r w:rsidRPr="00F00714">
              <w:rPr>
                <w:b/>
              </w:rPr>
              <w:t>Type</w:t>
            </w:r>
          </w:p>
        </w:tc>
        <w:tc>
          <w:tcPr>
            <w:tcW w:w="393" w:type="pct"/>
            <w:vAlign w:val="center"/>
          </w:tcPr>
          <w:p w14:paraId="2A113601" w14:textId="5E36C7D9" w:rsidR="00284C18" w:rsidRPr="00F00714" w:rsidRDefault="00284C18" w:rsidP="00284C18">
            <w:pPr>
              <w:pStyle w:val="TableParagraph"/>
              <w:rPr>
                <w:b/>
              </w:rPr>
            </w:pPr>
            <w:r w:rsidRPr="00F00714">
              <w:rPr>
                <w:b/>
              </w:rPr>
              <w:t>Q (tons) of NO</w:t>
            </w:r>
            <w:r w:rsidRPr="00F00714">
              <w:rPr>
                <w:b/>
                <w:vertAlign w:val="subscript"/>
              </w:rPr>
              <w:t>X</w:t>
            </w:r>
            <w:r w:rsidRPr="00F00714">
              <w:rPr>
                <w:b/>
              </w:rPr>
              <w:t>, PM</w:t>
            </w:r>
            <w:r w:rsidRPr="00F00714">
              <w:rPr>
                <w:b/>
                <w:shd w:val="clear" w:color="auto" w:fill="FFFFFF"/>
                <w:vertAlign w:val="subscript"/>
              </w:rPr>
              <w:t>10</w:t>
            </w:r>
            <w:r w:rsidRPr="00F00714">
              <w:rPr>
                <w:b/>
              </w:rPr>
              <w:t>, SO</w:t>
            </w:r>
            <w:r w:rsidRPr="00F00714">
              <w:rPr>
                <w:b/>
                <w:vertAlign w:val="subscript"/>
              </w:rPr>
              <w:t>2</w:t>
            </w:r>
            <w:r w:rsidRPr="00F00714">
              <w:rPr>
                <w:b/>
              </w:rPr>
              <w:t>, and H</w:t>
            </w:r>
            <w:r w:rsidRPr="00F00714">
              <w:rPr>
                <w:b/>
                <w:vertAlign w:val="subscript"/>
              </w:rPr>
              <w:t>2</w:t>
            </w:r>
            <w:r w:rsidRPr="00F00714">
              <w:rPr>
                <w:b/>
              </w:rPr>
              <w:t>SO</w:t>
            </w:r>
            <w:r w:rsidRPr="00F00714">
              <w:rPr>
                <w:b/>
                <w:vertAlign w:val="subscript"/>
              </w:rPr>
              <w:t>4</w:t>
            </w:r>
          </w:p>
        </w:tc>
        <w:tc>
          <w:tcPr>
            <w:tcW w:w="393" w:type="pct"/>
            <w:vAlign w:val="center"/>
            <w:hideMark/>
          </w:tcPr>
          <w:p w14:paraId="616EB041" w14:textId="74458521" w:rsidR="00284C18" w:rsidRPr="00F00714" w:rsidRDefault="00284C18" w:rsidP="00284C18">
            <w:pPr>
              <w:pStyle w:val="TableParagraph"/>
              <w:rPr>
                <w:b/>
              </w:rPr>
            </w:pPr>
            <w:r w:rsidRPr="00F00714">
              <w:rPr>
                <w:b/>
              </w:rPr>
              <w:t>d (km) to nearest CIA</w:t>
            </w:r>
          </w:p>
        </w:tc>
        <w:tc>
          <w:tcPr>
            <w:tcW w:w="302" w:type="pct"/>
            <w:vAlign w:val="center"/>
            <w:hideMark/>
          </w:tcPr>
          <w:p w14:paraId="56A06746" w14:textId="77777777" w:rsidR="00284C18" w:rsidRPr="00F00714" w:rsidRDefault="00284C18" w:rsidP="00284C18">
            <w:pPr>
              <w:pStyle w:val="TableParagraph"/>
              <w:rPr>
                <w:b/>
              </w:rPr>
            </w:pPr>
            <w:r w:rsidRPr="00F00714">
              <w:rPr>
                <w:b/>
              </w:rPr>
              <w:t>Q/d</w:t>
            </w:r>
          </w:p>
        </w:tc>
        <w:tc>
          <w:tcPr>
            <w:tcW w:w="514" w:type="pct"/>
            <w:vAlign w:val="center"/>
            <w:hideMark/>
          </w:tcPr>
          <w:p w14:paraId="62A6D30D" w14:textId="77777777" w:rsidR="00284C18" w:rsidRPr="00F00714" w:rsidRDefault="00284C18" w:rsidP="00284C18">
            <w:pPr>
              <w:pStyle w:val="TableParagraph"/>
              <w:rPr>
                <w:b/>
              </w:rPr>
            </w:pPr>
            <w:r w:rsidRPr="00F00714">
              <w:rPr>
                <w:b/>
              </w:rPr>
              <w:t>Nearest CIA</w:t>
            </w:r>
          </w:p>
        </w:tc>
        <w:tc>
          <w:tcPr>
            <w:tcW w:w="350" w:type="pct"/>
            <w:vAlign w:val="center"/>
            <w:hideMark/>
          </w:tcPr>
          <w:p w14:paraId="34FB85C5" w14:textId="77777777" w:rsidR="00284C18" w:rsidRPr="00F00714" w:rsidRDefault="00284C18" w:rsidP="00284C18">
            <w:pPr>
              <w:pStyle w:val="TableParagraph"/>
              <w:rPr>
                <w:b/>
              </w:rPr>
            </w:pPr>
            <w:r w:rsidRPr="00F00714">
              <w:rPr>
                <w:b/>
              </w:rPr>
              <w:t>NO</w:t>
            </w:r>
            <w:r w:rsidRPr="00F00714">
              <w:rPr>
                <w:b/>
                <w:vertAlign w:val="subscript"/>
              </w:rPr>
              <w:t>X</w:t>
            </w:r>
          </w:p>
        </w:tc>
        <w:tc>
          <w:tcPr>
            <w:tcW w:w="302" w:type="pct"/>
            <w:vAlign w:val="center"/>
            <w:hideMark/>
          </w:tcPr>
          <w:p w14:paraId="3047AD8F" w14:textId="4E58CD38" w:rsidR="00284C18" w:rsidRPr="00F00714" w:rsidRDefault="00284C18" w:rsidP="00284C18">
            <w:pPr>
              <w:pStyle w:val="TableParagraph"/>
              <w:rPr>
                <w:b/>
              </w:rPr>
            </w:pPr>
            <w:r w:rsidRPr="00F00714">
              <w:rPr>
                <w:b/>
              </w:rPr>
              <w:t>PM</w:t>
            </w:r>
            <w:r>
              <w:rPr>
                <w:b/>
                <w:shd w:val="clear" w:color="auto" w:fill="FFFFFF"/>
                <w:vertAlign w:val="subscript"/>
              </w:rPr>
              <w:t>10</w:t>
            </w:r>
          </w:p>
        </w:tc>
        <w:tc>
          <w:tcPr>
            <w:tcW w:w="350" w:type="pct"/>
            <w:vAlign w:val="center"/>
            <w:hideMark/>
          </w:tcPr>
          <w:p w14:paraId="48DA1C5E" w14:textId="77777777" w:rsidR="00284C18" w:rsidRPr="00F00714" w:rsidRDefault="00284C18" w:rsidP="00284C18">
            <w:pPr>
              <w:pStyle w:val="TableParagraph"/>
              <w:rPr>
                <w:b/>
              </w:rPr>
            </w:pPr>
            <w:r w:rsidRPr="00F00714">
              <w:rPr>
                <w:b/>
              </w:rPr>
              <w:t>SO</w:t>
            </w:r>
            <w:r w:rsidRPr="00F00714">
              <w:rPr>
                <w:b/>
                <w:vertAlign w:val="subscript"/>
              </w:rPr>
              <w:t>2</w:t>
            </w:r>
          </w:p>
        </w:tc>
        <w:tc>
          <w:tcPr>
            <w:tcW w:w="334" w:type="pct"/>
            <w:vAlign w:val="center"/>
            <w:hideMark/>
          </w:tcPr>
          <w:p w14:paraId="727F1EAF" w14:textId="77777777" w:rsidR="00284C18" w:rsidRPr="00F00714" w:rsidRDefault="00284C18" w:rsidP="00284C18">
            <w:pPr>
              <w:pStyle w:val="TableParagraph"/>
              <w:rPr>
                <w:b/>
              </w:rPr>
            </w:pPr>
            <w:r w:rsidRPr="00F00714">
              <w:rPr>
                <w:b/>
              </w:rPr>
              <w:t>H</w:t>
            </w:r>
            <w:r w:rsidRPr="00F00714">
              <w:rPr>
                <w:b/>
                <w:vertAlign w:val="subscript"/>
              </w:rPr>
              <w:t>2</w:t>
            </w:r>
            <w:r w:rsidRPr="00F00714">
              <w:rPr>
                <w:b/>
              </w:rPr>
              <w:t>SO</w:t>
            </w:r>
            <w:r w:rsidRPr="00F00714">
              <w:rPr>
                <w:b/>
                <w:vertAlign w:val="subscript"/>
              </w:rPr>
              <w:t>4</w:t>
            </w:r>
          </w:p>
        </w:tc>
        <w:tc>
          <w:tcPr>
            <w:tcW w:w="634" w:type="pct"/>
            <w:vAlign w:val="center"/>
            <w:hideMark/>
          </w:tcPr>
          <w:p w14:paraId="11C905EE" w14:textId="77777777" w:rsidR="00284C18" w:rsidRPr="00F00714" w:rsidRDefault="00284C18" w:rsidP="00284C18">
            <w:pPr>
              <w:pStyle w:val="TableParagraph"/>
              <w:rPr>
                <w:b/>
              </w:rPr>
            </w:pPr>
            <w:r w:rsidRPr="00F00714">
              <w:rPr>
                <w:b/>
              </w:rPr>
              <w:t>Category 1</w:t>
            </w:r>
          </w:p>
        </w:tc>
        <w:tc>
          <w:tcPr>
            <w:tcW w:w="437" w:type="pct"/>
            <w:vAlign w:val="center"/>
            <w:hideMark/>
          </w:tcPr>
          <w:p w14:paraId="67F533BB" w14:textId="77777777" w:rsidR="00284C18" w:rsidRPr="00F00714" w:rsidRDefault="00284C18" w:rsidP="00284C18">
            <w:pPr>
              <w:pStyle w:val="TableParagraph"/>
              <w:rPr>
                <w:b/>
              </w:rPr>
            </w:pPr>
            <w:r w:rsidRPr="00F00714">
              <w:rPr>
                <w:b/>
              </w:rPr>
              <w:t>Agency</w:t>
            </w:r>
          </w:p>
        </w:tc>
      </w:tr>
      <w:tr w:rsidR="00284C18" w:rsidRPr="00F00714" w14:paraId="19525117" w14:textId="77777777" w:rsidTr="00284C18">
        <w:trPr>
          <w:cantSplit/>
          <w:trHeight w:val="1296"/>
        </w:trPr>
        <w:tc>
          <w:tcPr>
            <w:tcW w:w="670" w:type="pct"/>
            <w:vAlign w:val="center"/>
            <w:hideMark/>
          </w:tcPr>
          <w:p w14:paraId="3FA81050" w14:textId="77777777" w:rsidR="00284C18" w:rsidRPr="00F00714" w:rsidRDefault="00284C18" w:rsidP="00284C18">
            <w:pPr>
              <w:pStyle w:val="TableParagraph"/>
            </w:pPr>
            <w:r w:rsidRPr="00F00714">
              <w:t>TransAlta Centralia Generation, LLC</w:t>
            </w:r>
          </w:p>
        </w:tc>
        <w:tc>
          <w:tcPr>
            <w:tcW w:w="321" w:type="pct"/>
            <w:vAlign w:val="center"/>
            <w:hideMark/>
          </w:tcPr>
          <w:p w14:paraId="2D86B344" w14:textId="77777777" w:rsidR="00284C18" w:rsidRPr="00F00714" w:rsidRDefault="00284C18" w:rsidP="00284C18">
            <w:pPr>
              <w:pStyle w:val="TableParagraph"/>
            </w:pPr>
            <w:r w:rsidRPr="00F00714">
              <w:t>major</w:t>
            </w:r>
          </w:p>
        </w:tc>
        <w:tc>
          <w:tcPr>
            <w:tcW w:w="393" w:type="pct"/>
            <w:vAlign w:val="center"/>
          </w:tcPr>
          <w:p w14:paraId="75D2DFB3" w14:textId="769DC877" w:rsidR="00284C18" w:rsidRPr="00F00714" w:rsidRDefault="00284C18" w:rsidP="00284C18">
            <w:pPr>
              <w:pStyle w:val="TableParagraph"/>
            </w:pPr>
            <w:r w:rsidRPr="00F00714">
              <w:t>10749.4</w:t>
            </w:r>
          </w:p>
        </w:tc>
        <w:tc>
          <w:tcPr>
            <w:tcW w:w="393" w:type="pct"/>
            <w:vAlign w:val="center"/>
            <w:hideMark/>
          </w:tcPr>
          <w:p w14:paraId="23980841" w14:textId="7C3419E8" w:rsidR="00284C18" w:rsidRPr="00F00714" w:rsidRDefault="00284C18" w:rsidP="00284C18">
            <w:pPr>
              <w:pStyle w:val="TableParagraph"/>
            </w:pPr>
            <w:r w:rsidRPr="00F00714">
              <w:t>71.8</w:t>
            </w:r>
          </w:p>
        </w:tc>
        <w:tc>
          <w:tcPr>
            <w:tcW w:w="302" w:type="pct"/>
            <w:vAlign w:val="center"/>
            <w:hideMark/>
          </w:tcPr>
          <w:p w14:paraId="70C7A791" w14:textId="77777777" w:rsidR="00284C18" w:rsidRPr="00F00714" w:rsidRDefault="00284C18" w:rsidP="00284C18">
            <w:pPr>
              <w:pStyle w:val="TableParagraph"/>
            </w:pPr>
            <w:r w:rsidRPr="00F00714">
              <w:t>149.8</w:t>
            </w:r>
          </w:p>
        </w:tc>
        <w:tc>
          <w:tcPr>
            <w:tcW w:w="514" w:type="pct"/>
            <w:vAlign w:val="center"/>
            <w:hideMark/>
          </w:tcPr>
          <w:p w14:paraId="3674522C" w14:textId="77777777" w:rsidR="00284C18" w:rsidRPr="00F00714" w:rsidRDefault="00284C18" w:rsidP="00284C18">
            <w:pPr>
              <w:pStyle w:val="TableParagraph"/>
            </w:pPr>
            <w:r w:rsidRPr="00F00714">
              <w:t>Mount Rainier NP</w:t>
            </w:r>
          </w:p>
        </w:tc>
        <w:tc>
          <w:tcPr>
            <w:tcW w:w="350" w:type="pct"/>
            <w:vAlign w:val="center"/>
            <w:hideMark/>
          </w:tcPr>
          <w:p w14:paraId="27813C6D" w14:textId="77777777" w:rsidR="00284C18" w:rsidRPr="00F00714" w:rsidRDefault="00284C18" w:rsidP="00284C18">
            <w:pPr>
              <w:pStyle w:val="TableParagraph"/>
            </w:pPr>
            <w:r w:rsidRPr="00F00714">
              <w:t>7525.0</w:t>
            </w:r>
          </w:p>
        </w:tc>
        <w:tc>
          <w:tcPr>
            <w:tcW w:w="302" w:type="pct"/>
            <w:vAlign w:val="center"/>
            <w:hideMark/>
          </w:tcPr>
          <w:p w14:paraId="23F7DE4B" w14:textId="77777777" w:rsidR="00284C18" w:rsidRPr="00F00714" w:rsidRDefault="00284C18" w:rsidP="00284C18">
            <w:pPr>
              <w:pStyle w:val="TableParagraph"/>
            </w:pPr>
            <w:r w:rsidRPr="00F00714">
              <w:t>149.5</w:t>
            </w:r>
          </w:p>
        </w:tc>
        <w:tc>
          <w:tcPr>
            <w:tcW w:w="350" w:type="pct"/>
            <w:vAlign w:val="center"/>
            <w:hideMark/>
          </w:tcPr>
          <w:p w14:paraId="77179BAA" w14:textId="77777777" w:rsidR="00284C18" w:rsidRPr="00F00714" w:rsidRDefault="00284C18" w:rsidP="00284C18">
            <w:pPr>
              <w:pStyle w:val="TableParagraph"/>
            </w:pPr>
            <w:r w:rsidRPr="00F00714">
              <w:t>3037.1</w:t>
            </w:r>
          </w:p>
        </w:tc>
        <w:tc>
          <w:tcPr>
            <w:tcW w:w="334" w:type="pct"/>
            <w:vAlign w:val="center"/>
            <w:hideMark/>
          </w:tcPr>
          <w:p w14:paraId="5FBBC057" w14:textId="77777777" w:rsidR="00284C18" w:rsidRPr="00F00714" w:rsidRDefault="00284C18" w:rsidP="00284C18">
            <w:pPr>
              <w:pStyle w:val="TableParagraph"/>
            </w:pPr>
          </w:p>
        </w:tc>
        <w:tc>
          <w:tcPr>
            <w:tcW w:w="634" w:type="pct"/>
            <w:vAlign w:val="center"/>
            <w:hideMark/>
          </w:tcPr>
          <w:p w14:paraId="40CEC5E9" w14:textId="77777777" w:rsidR="00284C18" w:rsidRPr="00F00714" w:rsidRDefault="00284C18" w:rsidP="00284C18">
            <w:pPr>
              <w:pStyle w:val="TableParagraph"/>
            </w:pPr>
            <w:r w:rsidRPr="00F00714">
              <w:t>Coal powered electric</w:t>
            </w:r>
          </w:p>
        </w:tc>
        <w:tc>
          <w:tcPr>
            <w:tcW w:w="437" w:type="pct"/>
            <w:vAlign w:val="center"/>
            <w:hideMark/>
          </w:tcPr>
          <w:p w14:paraId="578B6298" w14:textId="77777777" w:rsidR="00284C18" w:rsidRPr="00F00714" w:rsidRDefault="00284C18" w:rsidP="00284C18">
            <w:pPr>
              <w:pStyle w:val="TableParagraph"/>
            </w:pPr>
            <w:r w:rsidRPr="00F00714">
              <w:t>SWCAA</w:t>
            </w:r>
          </w:p>
        </w:tc>
      </w:tr>
      <w:tr w:rsidR="00284C18" w:rsidRPr="00F00714" w14:paraId="4D872DC5" w14:textId="77777777" w:rsidTr="00284C18">
        <w:trPr>
          <w:cantSplit/>
          <w:trHeight w:val="1296"/>
        </w:trPr>
        <w:tc>
          <w:tcPr>
            <w:tcW w:w="670" w:type="pct"/>
            <w:vAlign w:val="center"/>
            <w:hideMark/>
          </w:tcPr>
          <w:p w14:paraId="05FD9A1A" w14:textId="77777777" w:rsidR="00284C18" w:rsidRPr="00F00714" w:rsidRDefault="00284C18" w:rsidP="00284C18">
            <w:pPr>
              <w:pStyle w:val="TableParagraph"/>
            </w:pPr>
            <w:r w:rsidRPr="00F00714">
              <w:t>Nippon Paper Industries USA Co LTD</w:t>
            </w:r>
          </w:p>
        </w:tc>
        <w:tc>
          <w:tcPr>
            <w:tcW w:w="321" w:type="pct"/>
            <w:vAlign w:val="center"/>
            <w:hideMark/>
          </w:tcPr>
          <w:p w14:paraId="6D0D9A81" w14:textId="77777777" w:rsidR="00284C18" w:rsidRPr="00F00714" w:rsidRDefault="00284C18" w:rsidP="00284C18">
            <w:pPr>
              <w:pStyle w:val="TableParagraph"/>
            </w:pPr>
            <w:r w:rsidRPr="00F00714">
              <w:t>major</w:t>
            </w:r>
          </w:p>
        </w:tc>
        <w:tc>
          <w:tcPr>
            <w:tcW w:w="393" w:type="pct"/>
            <w:vAlign w:val="center"/>
          </w:tcPr>
          <w:p w14:paraId="327DDD38" w14:textId="1E206801" w:rsidR="00284C18" w:rsidRPr="00F00714" w:rsidRDefault="00284C18" w:rsidP="00284C18">
            <w:pPr>
              <w:pStyle w:val="TableParagraph"/>
            </w:pPr>
            <w:r w:rsidRPr="00F00714">
              <w:t>367.2</w:t>
            </w:r>
          </w:p>
        </w:tc>
        <w:tc>
          <w:tcPr>
            <w:tcW w:w="393" w:type="pct"/>
            <w:vAlign w:val="center"/>
            <w:hideMark/>
          </w:tcPr>
          <w:p w14:paraId="3DED3682" w14:textId="4FA971C1" w:rsidR="00284C18" w:rsidRPr="00F00714" w:rsidRDefault="00284C18" w:rsidP="00284C18">
            <w:pPr>
              <w:pStyle w:val="TableParagraph"/>
            </w:pPr>
            <w:r w:rsidRPr="00F00714">
              <w:t>4.4</w:t>
            </w:r>
          </w:p>
        </w:tc>
        <w:tc>
          <w:tcPr>
            <w:tcW w:w="302" w:type="pct"/>
            <w:vAlign w:val="center"/>
            <w:hideMark/>
          </w:tcPr>
          <w:p w14:paraId="4A843C20" w14:textId="77777777" w:rsidR="00284C18" w:rsidRPr="00F00714" w:rsidRDefault="00284C18" w:rsidP="00284C18">
            <w:pPr>
              <w:pStyle w:val="TableParagraph"/>
            </w:pPr>
            <w:r w:rsidRPr="00F00714">
              <w:t>83.1</w:t>
            </w:r>
          </w:p>
        </w:tc>
        <w:tc>
          <w:tcPr>
            <w:tcW w:w="514" w:type="pct"/>
            <w:vAlign w:val="center"/>
            <w:hideMark/>
          </w:tcPr>
          <w:p w14:paraId="4E037DE7" w14:textId="77777777" w:rsidR="00284C18" w:rsidRPr="00F00714" w:rsidRDefault="00284C18" w:rsidP="00284C18">
            <w:pPr>
              <w:pStyle w:val="TableParagraph"/>
            </w:pPr>
            <w:r w:rsidRPr="00F00714">
              <w:t>Olympic NP</w:t>
            </w:r>
          </w:p>
        </w:tc>
        <w:tc>
          <w:tcPr>
            <w:tcW w:w="350" w:type="pct"/>
            <w:vAlign w:val="center"/>
            <w:hideMark/>
          </w:tcPr>
          <w:p w14:paraId="7701DE6E" w14:textId="77777777" w:rsidR="00284C18" w:rsidRPr="00F00714" w:rsidRDefault="00284C18" w:rsidP="00284C18">
            <w:pPr>
              <w:pStyle w:val="TableParagraph"/>
            </w:pPr>
            <w:r w:rsidRPr="00F00714">
              <w:t>172.5</w:t>
            </w:r>
          </w:p>
        </w:tc>
        <w:tc>
          <w:tcPr>
            <w:tcW w:w="302" w:type="pct"/>
            <w:vAlign w:val="center"/>
            <w:hideMark/>
          </w:tcPr>
          <w:p w14:paraId="1DBF2829" w14:textId="77777777" w:rsidR="00284C18" w:rsidRPr="00F00714" w:rsidRDefault="00284C18" w:rsidP="00284C18">
            <w:pPr>
              <w:pStyle w:val="TableParagraph"/>
            </w:pPr>
            <w:r w:rsidRPr="00F00714">
              <w:t>37.6</w:t>
            </w:r>
          </w:p>
        </w:tc>
        <w:tc>
          <w:tcPr>
            <w:tcW w:w="350" w:type="pct"/>
            <w:vAlign w:val="center"/>
            <w:hideMark/>
          </w:tcPr>
          <w:p w14:paraId="49746CA9" w14:textId="77777777" w:rsidR="00284C18" w:rsidRPr="00F00714" w:rsidRDefault="00284C18" w:rsidP="00284C18">
            <w:pPr>
              <w:pStyle w:val="TableParagraph"/>
            </w:pPr>
            <w:r w:rsidRPr="00F00714">
              <w:t>153.5</w:t>
            </w:r>
          </w:p>
        </w:tc>
        <w:tc>
          <w:tcPr>
            <w:tcW w:w="334" w:type="pct"/>
            <w:vAlign w:val="center"/>
            <w:hideMark/>
          </w:tcPr>
          <w:p w14:paraId="127958FA" w14:textId="77777777" w:rsidR="00284C18" w:rsidRPr="00F00714" w:rsidRDefault="00284C18" w:rsidP="00284C18">
            <w:pPr>
              <w:pStyle w:val="TableParagraph"/>
            </w:pPr>
          </w:p>
        </w:tc>
        <w:tc>
          <w:tcPr>
            <w:tcW w:w="634" w:type="pct"/>
            <w:vAlign w:val="center"/>
            <w:hideMark/>
          </w:tcPr>
          <w:p w14:paraId="54573088" w14:textId="77777777" w:rsidR="00284C18" w:rsidRPr="00F00714" w:rsidRDefault="00284C18" w:rsidP="00284C18">
            <w:pPr>
              <w:pStyle w:val="TableParagraph"/>
            </w:pPr>
            <w:r w:rsidRPr="00F00714">
              <w:t>Pulp and Paper Plant</w:t>
            </w:r>
          </w:p>
        </w:tc>
        <w:tc>
          <w:tcPr>
            <w:tcW w:w="437" w:type="pct"/>
            <w:vAlign w:val="center"/>
            <w:hideMark/>
          </w:tcPr>
          <w:p w14:paraId="2FEDB6B6" w14:textId="77777777" w:rsidR="00284C18" w:rsidRPr="00F00714" w:rsidRDefault="00284C18" w:rsidP="00284C18">
            <w:pPr>
              <w:pStyle w:val="TableParagraph"/>
            </w:pPr>
            <w:r w:rsidRPr="00F00714">
              <w:t>ORCAA</w:t>
            </w:r>
          </w:p>
        </w:tc>
      </w:tr>
      <w:tr w:rsidR="00284C18" w:rsidRPr="00F00714" w14:paraId="4ECB08F7" w14:textId="77777777" w:rsidTr="00284C18">
        <w:trPr>
          <w:cantSplit/>
          <w:trHeight w:val="1296"/>
        </w:trPr>
        <w:tc>
          <w:tcPr>
            <w:tcW w:w="670" w:type="pct"/>
            <w:vAlign w:val="center"/>
            <w:hideMark/>
          </w:tcPr>
          <w:p w14:paraId="55F3CD9C" w14:textId="77777777" w:rsidR="00284C18" w:rsidRPr="00F00714" w:rsidRDefault="00284C18" w:rsidP="00284C18">
            <w:pPr>
              <w:pStyle w:val="TableParagraph"/>
            </w:pPr>
            <w:r w:rsidRPr="00F00714">
              <w:t>Alcoa Primary Metals Wenatchee Works</w:t>
            </w:r>
          </w:p>
        </w:tc>
        <w:tc>
          <w:tcPr>
            <w:tcW w:w="321" w:type="pct"/>
            <w:vAlign w:val="center"/>
            <w:hideMark/>
          </w:tcPr>
          <w:p w14:paraId="0523BADC" w14:textId="77777777" w:rsidR="00284C18" w:rsidRPr="00F00714" w:rsidRDefault="00284C18" w:rsidP="00284C18">
            <w:pPr>
              <w:pStyle w:val="TableParagraph"/>
            </w:pPr>
            <w:r w:rsidRPr="00F00714">
              <w:t>major</w:t>
            </w:r>
          </w:p>
        </w:tc>
        <w:tc>
          <w:tcPr>
            <w:tcW w:w="393" w:type="pct"/>
            <w:vAlign w:val="center"/>
          </w:tcPr>
          <w:p w14:paraId="3D80F574" w14:textId="5C42C20F" w:rsidR="00284C18" w:rsidRPr="00F00714" w:rsidRDefault="00284C18" w:rsidP="00284C18">
            <w:pPr>
              <w:pStyle w:val="TableParagraph"/>
            </w:pPr>
            <w:r w:rsidRPr="00F00714">
              <w:t>3461.7</w:t>
            </w:r>
          </w:p>
        </w:tc>
        <w:tc>
          <w:tcPr>
            <w:tcW w:w="393" w:type="pct"/>
            <w:vAlign w:val="center"/>
            <w:hideMark/>
          </w:tcPr>
          <w:p w14:paraId="46C42D96" w14:textId="3263E625" w:rsidR="00284C18" w:rsidRPr="00F00714" w:rsidRDefault="00284C18" w:rsidP="00284C18">
            <w:pPr>
              <w:pStyle w:val="TableParagraph"/>
            </w:pPr>
            <w:r w:rsidRPr="00F00714">
              <w:t>42.8</w:t>
            </w:r>
          </w:p>
        </w:tc>
        <w:tc>
          <w:tcPr>
            <w:tcW w:w="302" w:type="pct"/>
            <w:vAlign w:val="center"/>
            <w:hideMark/>
          </w:tcPr>
          <w:p w14:paraId="304DC908" w14:textId="77777777" w:rsidR="00284C18" w:rsidRPr="00F00714" w:rsidRDefault="00284C18" w:rsidP="00284C18">
            <w:pPr>
              <w:pStyle w:val="TableParagraph"/>
            </w:pPr>
            <w:r w:rsidRPr="00F00714">
              <w:t>80.9</w:t>
            </w:r>
          </w:p>
        </w:tc>
        <w:tc>
          <w:tcPr>
            <w:tcW w:w="514" w:type="pct"/>
            <w:vAlign w:val="center"/>
            <w:hideMark/>
          </w:tcPr>
          <w:p w14:paraId="332603F6" w14:textId="77777777" w:rsidR="00284C18" w:rsidRPr="00F00714" w:rsidRDefault="00284C18" w:rsidP="00284C18">
            <w:pPr>
              <w:pStyle w:val="TableParagraph"/>
            </w:pPr>
            <w:r w:rsidRPr="00F00714">
              <w:t>Alpine Lakes Wilderness</w:t>
            </w:r>
          </w:p>
        </w:tc>
        <w:tc>
          <w:tcPr>
            <w:tcW w:w="350" w:type="pct"/>
            <w:vAlign w:val="center"/>
            <w:hideMark/>
          </w:tcPr>
          <w:p w14:paraId="5472B5DB" w14:textId="77777777" w:rsidR="00284C18" w:rsidRPr="00F00714" w:rsidRDefault="00284C18" w:rsidP="00284C18">
            <w:pPr>
              <w:pStyle w:val="TableParagraph"/>
            </w:pPr>
            <w:r w:rsidRPr="00F00714">
              <w:t>69.5</w:t>
            </w:r>
          </w:p>
        </w:tc>
        <w:tc>
          <w:tcPr>
            <w:tcW w:w="302" w:type="pct"/>
            <w:vAlign w:val="center"/>
            <w:hideMark/>
          </w:tcPr>
          <w:p w14:paraId="4FB762F5" w14:textId="77777777" w:rsidR="00284C18" w:rsidRPr="00F00714" w:rsidRDefault="00284C18" w:rsidP="00284C18">
            <w:pPr>
              <w:pStyle w:val="TableParagraph"/>
            </w:pPr>
            <w:r w:rsidRPr="00F00714">
              <w:t>457.5</w:t>
            </w:r>
          </w:p>
        </w:tc>
        <w:tc>
          <w:tcPr>
            <w:tcW w:w="350" w:type="pct"/>
            <w:vAlign w:val="center"/>
            <w:hideMark/>
          </w:tcPr>
          <w:p w14:paraId="495C2705" w14:textId="77777777" w:rsidR="00284C18" w:rsidRPr="00F00714" w:rsidRDefault="00284C18" w:rsidP="00284C18">
            <w:pPr>
              <w:pStyle w:val="TableParagraph"/>
            </w:pPr>
            <w:r w:rsidRPr="00F00714">
              <w:t>2934.8</w:t>
            </w:r>
          </w:p>
        </w:tc>
        <w:tc>
          <w:tcPr>
            <w:tcW w:w="334" w:type="pct"/>
            <w:vAlign w:val="center"/>
            <w:hideMark/>
          </w:tcPr>
          <w:p w14:paraId="6F51D8BC" w14:textId="77777777" w:rsidR="00284C18" w:rsidRPr="00F00714" w:rsidRDefault="00284C18" w:rsidP="00284C18">
            <w:pPr>
              <w:pStyle w:val="TableParagraph"/>
            </w:pPr>
          </w:p>
        </w:tc>
        <w:tc>
          <w:tcPr>
            <w:tcW w:w="634" w:type="pct"/>
            <w:vAlign w:val="center"/>
            <w:hideMark/>
          </w:tcPr>
          <w:p w14:paraId="31F4900C" w14:textId="77777777" w:rsidR="00284C18" w:rsidRPr="00F00714" w:rsidRDefault="00284C18" w:rsidP="00284C18">
            <w:pPr>
              <w:pStyle w:val="TableParagraph"/>
            </w:pPr>
            <w:r w:rsidRPr="00F00714">
              <w:t>Alumina Refining and Aluminum Production</w:t>
            </w:r>
          </w:p>
        </w:tc>
        <w:tc>
          <w:tcPr>
            <w:tcW w:w="437" w:type="pct"/>
            <w:vAlign w:val="center"/>
            <w:hideMark/>
          </w:tcPr>
          <w:p w14:paraId="0E46D7A2" w14:textId="77777777" w:rsidR="00284C18" w:rsidRPr="00F00714" w:rsidRDefault="00284C18" w:rsidP="00284C18">
            <w:pPr>
              <w:pStyle w:val="TableParagraph"/>
            </w:pPr>
            <w:r w:rsidRPr="00F00714">
              <w:t>Industrial</w:t>
            </w:r>
          </w:p>
        </w:tc>
      </w:tr>
      <w:tr w:rsidR="00284C18" w:rsidRPr="00F00714" w14:paraId="252A95D8" w14:textId="77777777" w:rsidTr="00284C18">
        <w:trPr>
          <w:cantSplit/>
          <w:trHeight w:val="1296"/>
        </w:trPr>
        <w:tc>
          <w:tcPr>
            <w:tcW w:w="670" w:type="pct"/>
            <w:vAlign w:val="center"/>
            <w:hideMark/>
          </w:tcPr>
          <w:p w14:paraId="5E23BE86" w14:textId="77777777" w:rsidR="00284C18" w:rsidRPr="00F00714" w:rsidRDefault="00284C18" w:rsidP="00284C18">
            <w:pPr>
              <w:pStyle w:val="TableParagraph"/>
            </w:pPr>
            <w:r w:rsidRPr="00F00714">
              <w:t>Alcoa Primary Metals Intalco Works</w:t>
            </w:r>
          </w:p>
        </w:tc>
        <w:tc>
          <w:tcPr>
            <w:tcW w:w="321" w:type="pct"/>
            <w:vAlign w:val="center"/>
            <w:hideMark/>
          </w:tcPr>
          <w:p w14:paraId="1C510FDF" w14:textId="77777777" w:rsidR="00284C18" w:rsidRPr="00F00714" w:rsidRDefault="00284C18" w:rsidP="00284C18">
            <w:pPr>
              <w:pStyle w:val="TableParagraph"/>
            </w:pPr>
            <w:r w:rsidRPr="00F00714">
              <w:t>major</w:t>
            </w:r>
          </w:p>
        </w:tc>
        <w:tc>
          <w:tcPr>
            <w:tcW w:w="393" w:type="pct"/>
            <w:vAlign w:val="center"/>
          </w:tcPr>
          <w:p w14:paraId="45B54A2E" w14:textId="081B8F2C" w:rsidR="00284C18" w:rsidRPr="00F00714" w:rsidRDefault="00284C18" w:rsidP="00284C18">
            <w:pPr>
              <w:pStyle w:val="TableParagraph"/>
            </w:pPr>
            <w:r w:rsidRPr="00F00714">
              <w:t>5658.5</w:t>
            </w:r>
          </w:p>
        </w:tc>
        <w:tc>
          <w:tcPr>
            <w:tcW w:w="393" w:type="pct"/>
            <w:vAlign w:val="center"/>
            <w:hideMark/>
          </w:tcPr>
          <w:p w14:paraId="6CDA94C8" w14:textId="0BBF51E4" w:rsidR="00284C18" w:rsidRPr="00F00714" w:rsidRDefault="00284C18" w:rsidP="00284C18">
            <w:pPr>
              <w:pStyle w:val="TableParagraph"/>
            </w:pPr>
            <w:r w:rsidRPr="00F00714">
              <w:t>78.9</w:t>
            </w:r>
          </w:p>
        </w:tc>
        <w:tc>
          <w:tcPr>
            <w:tcW w:w="302" w:type="pct"/>
            <w:vAlign w:val="center"/>
            <w:hideMark/>
          </w:tcPr>
          <w:p w14:paraId="1C37445C" w14:textId="77777777" w:rsidR="00284C18" w:rsidRPr="00F00714" w:rsidRDefault="00284C18" w:rsidP="00284C18">
            <w:pPr>
              <w:pStyle w:val="TableParagraph"/>
            </w:pPr>
            <w:r w:rsidRPr="00F00714">
              <w:t>71.7</w:t>
            </w:r>
          </w:p>
        </w:tc>
        <w:tc>
          <w:tcPr>
            <w:tcW w:w="514" w:type="pct"/>
            <w:vAlign w:val="center"/>
            <w:hideMark/>
          </w:tcPr>
          <w:p w14:paraId="0F4643B5" w14:textId="77777777" w:rsidR="00284C18" w:rsidRPr="00F00714" w:rsidRDefault="00284C18" w:rsidP="00284C18">
            <w:pPr>
              <w:pStyle w:val="TableParagraph"/>
            </w:pPr>
            <w:r w:rsidRPr="00F00714">
              <w:t>North Cascades NP</w:t>
            </w:r>
          </w:p>
        </w:tc>
        <w:tc>
          <w:tcPr>
            <w:tcW w:w="350" w:type="pct"/>
            <w:vAlign w:val="center"/>
            <w:hideMark/>
          </w:tcPr>
          <w:p w14:paraId="15A038C5" w14:textId="77777777" w:rsidR="00284C18" w:rsidRPr="00F00714" w:rsidRDefault="00284C18" w:rsidP="00284C18">
            <w:pPr>
              <w:pStyle w:val="TableParagraph"/>
            </w:pPr>
            <w:r w:rsidRPr="00F00714">
              <w:t>227.4</w:t>
            </w:r>
          </w:p>
        </w:tc>
        <w:tc>
          <w:tcPr>
            <w:tcW w:w="302" w:type="pct"/>
            <w:vAlign w:val="center"/>
            <w:hideMark/>
          </w:tcPr>
          <w:p w14:paraId="3EAE9204" w14:textId="77777777" w:rsidR="00284C18" w:rsidRPr="00F00714" w:rsidRDefault="00284C18" w:rsidP="00284C18">
            <w:pPr>
              <w:pStyle w:val="TableParagraph"/>
            </w:pPr>
            <w:r w:rsidRPr="00F00714">
              <w:t>636.8</w:t>
            </w:r>
          </w:p>
        </w:tc>
        <w:tc>
          <w:tcPr>
            <w:tcW w:w="350" w:type="pct"/>
            <w:vAlign w:val="center"/>
            <w:hideMark/>
          </w:tcPr>
          <w:p w14:paraId="4A2482FD" w14:textId="77777777" w:rsidR="00284C18" w:rsidRPr="00F00714" w:rsidRDefault="00284C18" w:rsidP="00284C18">
            <w:pPr>
              <w:pStyle w:val="TableParagraph"/>
            </w:pPr>
            <w:r w:rsidRPr="00F00714">
              <w:t>4794.3</w:t>
            </w:r>
          </w:p>
        </w:tc>
        <w:tc>
          <w:tcPr>
            <w:tcW w:w="334" w:type="pct"/>
            <w:vAlign w:val="center"/>
            <w:hideMark/>
          </w:tcPr>
          <w:p w14:paraId="75C1EE16" w14:textId="77777777" w:rsidR="00284C18" w:rsidRPr="00F00714" w:rsidRDefault="00284C18" w:rsidP="00284C18">
            <w:pPr>
              <w:pStyle w:val="TableParagraph"/>
            </w:pPr>
          </w:p>
        </w:tc>
        <w:tc>
          <w:tcPr>
            <w:tcW w:w="634" w:type="pct"/>
            <w:vAlign w:val="center"/>
            <w:hideMark/>
          </w:tcPr>
          <w:p w14:paraId="2BD7BB74" w14:textId="77777777" w:rsidR="00284C18" w:rsidRPr="00F00714" w:rsidRDefault="00284C18" w:rsidP="00284C18">
            <w:pPr>
              <w:pStyle w:val="TableParagraph"/>
            </w:pPr>
            <w:r w:rsidRPr="00F00714">
              <w:t>Alumina Refining and Aluminum Production</w:t>
            </w:r>
          </w:p>
        </w:tc>
        <w:tc>
          <w:tcPr>
            <w:tcW w:w="437" w:type="pct"/>
            <w:vAlign w:val="center"/>
            <w:hideMark/>
          </w:tcPr>
          <w:p w14:paraId="0E3F158E" w14:textId="77777777" w:rsidR="00284C18" w:rsidRPr="00F00714" w:rsidRDefault="00284C18" w:rsidP="00284C18">
            <w:pPr>
              <w:pStyle w:val="TableParagraph"/>
            </w:pPr>
            <w:r w:rsidRPr="00F00714">
              <w:t>Industrial</w:t>
            </w:r>
          </w:p>
        </w:tc>
      </w:tr>
      <w:tr w:rsidR="00284C18" w:rsidRPr="00F00714" w14:paraId="5B1E8F57" w14:textId="77777777" w:rsidTr="00284C18">
        <w:trPr>
          <w:cantSplit/>
          <w:trHeight w:val="1296"/>
        </w:trPr>
        <w:tc>
          <w:tcPr>
            <w:tcW w:w="670" w:type="pct"/>
            <w:vAlign w:val="center"/>
            <w:hideMark/>
          </w:tcPr>
          <w:p w14:paraId="6DC34E37" w14:textId="77777777" w:rsidR="00284C18" w:rsidRPr="00F00714" w:rsidRDefault="00284C18" w:rsidP="00284C18">
            <w:pPr>
              <w:pStyle w:val="TableParagraph"/>
            </w:pPr>
            <w:r w:rsidRPr="00F00714">
              <w:t>BP Cherry Point Refinery</w:t>
            </w:r>
          </w:p>
        </w:tc>
        <w:tc>
          <w:tcPr>
            <w:tcW w:w="321" w:type="pct"/>
            <w:vAlign w:val="center"/>
            <w:hideMark/>
          </w:tcPr>
          <w:p w14:paraId="789C9082" w14:textId="77777777" w:rsidR="00284C18" w:rsidRPr="00F00714" w:rsidRDefault="00284C18" w:rsidP="00284C18">
            <w:pPr>
              <w:pStyle w:val="TableParagraph"/>
            </w:pPr>
            <w:r w:rsidRPr="00F00714">
              <w:t>major</w:t>
            </w:r>
          </w:p>
        </w:tc>
        <w:tc>
          <w:tcPr>
            <w:tcW w:w="393" w:type="pct"/>
            <w:vAlign w:val="center"/>
          </w:tcPr>
          <w:p w14:paraId="77F68CD7" w14:textId="245036AB" w:rsidR="00284C18" w:rsidRPr="00F00714" w:rsidRDefault="00284C18" w:rsidP="00284C18">
            <w:pPr>
              <w:pStyle w:val="TableParagraph"/>
            </w:pPr>
            <w:r w:rsidRPr="00F00714">
              <w:t>2945.0</w:t>
            </w:r>
          </w:p>
        </w:tc>
        <w:tc>
          <w:tcPr>
            <w:tcW w:w="393" w:type="pct"/>
            <w:vAlign w:val="center"/>
            <w:hideMark/>
          </w:tcPr>
          <w:p w14:paraId="2960C73C" w14:textId="5D5DF115" w:rsidR="00284C18" w:rsidRPr="00F00714" w:rsidRDefault="00284C18" w:rsidP="00284C18">
            <w:pPr>
              <w:pStyle w:val="TableParagraph"/>
            </w:pPr>
            <w:r w:rsidRPr="00F00714">
              <w:t>80.8</w:t>
            </w:r>
          </w:p>
        </w:tc>
        <w:tc>
          <w:tcPr>
            <w:tcW w:w="302" w:type="pct"/>
            <w:vAlign w:val="center"/>
            <w:hideMark/>
          </w:tcPr>
          <w:p w14:paraId="16B2323D" w14:textId="77777777" w:rsidR="00284C18" w:rsidRPr="00F00714" w:rsidRDefault="00284C18" w:rsidP="00284C18">
            <w:pPr>
              <w:pStyle w:val="TableParagraph"/>
            </w:pPr>
            <w:r w:rsidRPr="00F00714">
              <w:t>36.4</w:t>
            </w:r>
          </w:p>
        </w:tc>
        <w:tc>
          <w:tcPr>
            <w:tcW w:w="514" w:type="pct"/>
            <w:vAlign w:val="center"/>
            <w:hideMark/>
          </w:tcPr>
          <w:p w14:paraId="4D3E0349" w14:textId="77777777" w:rsidR="00284C18" w:rsidRPr="00F00714" w:rsidRDefault="00284C18" w:rsidP="00284C18">
            <w:pPr>
              <w:pStyle w:val="TableParagraph"/>
            </w:pPr>
            <w:r w:rsidRPr="00F00714">
              <w:t>North Cascades NP</w:t>
            </w:r>
          </w:p>
        </w:tc>
        <w:tc>
          <w:tcPr>
            <w:tcW w:w="350" w:type="pct"/>
            <w:vAlign w:val="center"/>
            <w:hideMark/>
          </w:tcPr>
          <w:p w14:paraId="5F10E48B" w14:textId="77777777" w:rsidR="00284C18" w:rsidRPr="00F00714" w:rsidRDefault="00284C18" w:rsidP="00284C18">
            <w:pPr>
              <w:pStyle w:val="TableParagraph"/>
            </w:pPr>
            <w:r w:rsidRPr="00F00714">
              <w:t>1893.0</w:t>
            </w:r>
          </w:p>
        </w:tc>
        <w:tc>
          <w:tcPr>
            <w:tcW w:w="302" w:type="pct"/>
            <w:vAlign w:val="center"/>
            <w:hideMark/>
          </w:tcPr>
          <w:p w14:paraId="261C8290" w14:textId="77777777" w:rsidR="00284C18" w:rsidRPr="00F00714" w:rsidRDefault="00284C18" w:rsidP="00284C18">
            <w:pPr>
              <w:pStyle w:val="TableParagraph"/>
            </w:pPr>
            <w:r w:rsidRPr="00F00714">
              <w:t>83.0</w:t>
            </w:r>
          </w:p>
        </w:tc>
        <w:tc>
          <w:tcPr>
            <w:tcW w:w="350" w:type="pct"/>
            <w:vAlign w:val="center"/>
            <w:hideMark/>
          </w:tcPr>
          <w:p w14:paraId="2EC98E87" w14:textId="77777777" w:rsidR="00284C18" w:rsidRPr="00F00714" w:rsidRDefault="00284C18" w:rsidP="00284C18">
            <w:pPr>
              <w:pStyle w:val="TableParagraph"/>
            </w:pPr>
            <w:r w:rsidRPr="00F00714">
              <w:t>917.0</w:t>
            </w:r>
          </w:p>
        </w:tc>
        <w:tc>
          <w:tcPr>
            <w:tcW w:w="334" w:type="pct"/>
            <w:vAlign w:val="center"/>
            <w:hideMark/>
          </w:tcPr>
          <w:p w14:paraId="056D9E13" w14:textId="77777777" w:rsidR="00284C18" w:rsidRPr="00F00714" w:rsidRDefault="00284C18" w:rsidP="00284C18">
            <w:pPr>
              <w:pStyle w:val="TableParagraph"/>
            </w:pPr>
            <w:r w:rsidRPr="00F00714">
              <w:t>52.0</w:t>
            </w:r>
          </w:p>
        </w:tc>
        <w:tc>
          <w:tcPr>
            <w:tcW w:w="634" w:type="pct"/>
            <w:vAlign w:val="center"/>
            <w:hideMark/>
          </w:tcPr>
          <w:p w14:paraId="5955E7E3" w14:textId="77777777" w:rsidR="00284C18" w:rsidRPr="00F00714" w:rsidRDefault="00284C18" w:rsidP="00284C18">
            <w:pPr>
              <w:pStyle w:val="TableParagraph"/>
            </w:pPr>
            <w:r w:rsidRPr="00F00714">
              <w:t>Petroleum Refineries</w:t>
            </w:r>
          </w:p>
        </w:tc>
        <w:tc>
          <w:tcPr>
            <w:tcW w:w="437" w:type="pct"/>
            <w:vAlign w:val="center"/>
            <w:hideMark/>
          </w:tcPr>
          <w:p w14:paraId="4FADD704" w14:textId="77777777" w:rsidR="00284C18" w:rsidRPr="00F00714" w:rsidRDefault="00284C18" w:rsidP="00284C18">
            <w:pPr>
              <w:pStyle w:val="TableParagraph"/>
            </w:pPr>
            <w:r w:rsidRPr="00F00714">
              <w:t>NWCAA</w:t>
            </w:r>
          </w:p>
        </w:tc>
      </w:tr>
      <w:tr w:rsidR="00284C18" w:rsidRPr="00F00714" w14:paraId="47738490" w14:textId="77777777" w:rsidTr="00284C18">
        <w:trPr>
          <w:cantSplit/>
          <w:trHeight w:val="1296"/>
        </w:trPr>
        <w:tc>
          <w:tcPr>
            <w:tcW w:w="670" w:type="pct"/>
            <w:vAlign w:val="center"/>
            <w:hideMark/>
          </w:tcPr>
          <w:p w14:paraId="3E6DE31C" w14:textId="77777777" w:rsidR="00284C18" w:rsidRPr="00F00714" w:rsidRDefault="00284C18" w:rsidP="00284C18">
            <w:pPr>
              <w:pStyle w:val="TableParagraph"/>
            </w:pPr>
            <w:r w:rsidRPr="00F00714">
              <w:lastRenderedPageBreak/>
              <w:t>Tesoro Northwest Company</w:t>
            </w:r>
          </w:p>
        </w:tc>
        <w:tc>
          <w:tcPr>
            <w:tcW w:w="321" w:type="pct"/>
            <w:vAlign w:val="center"/>
            <w:hideMark/>
          </w:tcPr>
          <w:p w14:paraId="18AE6F3C" w14:textId="77777777" w:rsidR="00284C18" w:rsidRPr="00F00714" w:rsidRDefault="00284C18" w:rsidP="00284C18">
            <w:pPr>
              <w:pStyle w:val="TableParagraph"/>
            </w:pPr>
            <w:r w:rsidRPr="00F00714">
              <w:t>major</w:t>
            </w:r>
          </w:p>
        </w:tc>
        <w:tc>
          <w:tcPr>
            <w:tcW w:w="393" w:type="pct"/>
            <w:vAlign w:val="center"/>
          </w:tcPr>
          <w:p w14:paraId="5D8BE367" w14:textId="344E13FD" w:rsidR="00284C18" w:rsidRPr="00F00714" w:rsidRDefault="00284C18" w:rsidP="00284C18">
            <w:pPr>
              <w:pStyle w:val="TableParagraph"/>
            </w:pPr>
            <w:r w:rsidRPr="00F00714">
              <w:t>2312.3</w:t>
            </w:r>
          </w:p>
        </w:tc>
        <w:tc>
          <w:tcPr>
            <w:tcW w:w="393" w:type="pct"/>
            <w:vAlign w:val="center"/>
            <w:hideMark/>
          </w:tcPr>
          <w:p w14:paraId="76EDFDE7" w14:textId="43242AD4" w:rsidR="00284C18" w:rsidRPr="00F00714" w:rsidRDefault="00284C18" w:rsidP="00284C18">
            <w:pPr>
              <w:pStyle w:val="TableParagraph"/>
            </w:pPr>
            <w:r w:rsidRPr="00F00714">
              <w:t>75.4</w:t>
            </w:r>
          </w:p>
        </w:tc>
        <w:tc>
          <w:tcPr>
            <w:tcW w:w="302" w:type="pct"/>
            <w:vAlign w:val="center"/>
            <w:hideMark/>
          </w:tcPr>
          <w:p w14:paraId="60B66D34" w14:textId="77777777" w:rsidR="00284C18" w:rsidRPr="00F00714" w:rsidRDefault="00284C18" w:rsidP="00284C18">
            <w:pPr>
              <w:pStyle w:val="TableParagraph"/>
            </w:pPr>
            <w:r w:rsidRPr="00F00714">
              <w:t>30.7</w:t>
            </w:r>
          </w:p>
        </w:tc>
        <w:tc>
          <w:tcPr>
            <w:tcW w:w="514" w:type="pct"/>
            <w:vAlign w:val="center"/>
            <w:hideMark/>
          </w:tcPr>
          <w:p w14:paraId="51883F9A" w14:textId="77777777" w:rsidR="00284C18" w:rsidRPr="00F00714" w:rsidRDefault="00284C18" w:rsidP="00284C18">
            <w:pPr>
              <w:pStyle w:val="TableParagraph"/>
            </w:pPr>
            <w:r w:rsidRPr="00F00714">
              <w:t>Olympic NP</w:t>
            </w:r>
          </w:p>
        </w:tc>
        <w:tc>
          <w:tcPr>
            <w:tcW w:w="350" w:type="pct"/>
            <w:vAlign w:val="center"/>
            <w:hideMark/>
          </w:tcPr>
          <w:p w14:paraId="72FCDD5F" w14:textId="77777777" w:rsidR="00284C18" w:rsidRPr="00F00714" w:rsidRDefault="00284C18" w:rsidP="00284C18">
            <w:pPr>
              <w:pStyle w:val="TableParagraph"/>
            </w:pPr>
            <w:r w:rsidRPr="00F00714">
              <w:t>1918.0</w:t>
            </w:r>
          </w:p>
        </w:tc>
        <w:tc>
          <w:tcPr>
            <w:tcW w:w="302" w:type="pct"/>
            <w:vAlign w:val="center"/>
            <w:hideMark/>
          </w:tcPr>
          <w:p w14:paraId="69C56AF6" w14:textId="77777777" w:rsidR="00284C18" w:rsidRPr="00F00714" w:rsidRDefault="00284C18" w:rsidP="00284C18">
            <w:pPr>
              <w:pStyle w:val="TableParagraph"/>
            </w:pPr>
            <w:r w:rsidRPr="00F00714">
              <w:t>128.0</w:t>
            </w:r>
          </w:p>
        </w:tc>
        <w:tc>
          <w:tcPr>
            <w:tcW w:w="350" w:type="pct"/>
            <w:vAlign w:val="center"/>
            <w:hideMark/>
          </w:tcPr>
          <w:p w14:paraId="55A55D78" w14:textId="77777777" w:rsidR="00284C18" w:rsidRPr="00F00714" w:rsidRDefault="00284C18" w:rsidP="00284C18">
            <w:pPr>
              <w:pStyle w:val="TableParagraph"/>
            </w:pPr>
            <w:r w:rsidRPr="00F00714">
              <w:t>191.1</w:t>
            </w:r>
          </w:p>
        </w:tc>
        <w:tc>
          <w:tcPr>
            <w:tcW w:w="334" w:type="pct"/>
            <w:vAlign w:val="center"/>
            <w:hideMark/>
          </w:tcPr>
          <w:p w14:paraId="43FFB955" w14:textId="77777777" w:rsidR="00284C18" w:rsidRPr="00F00714" w:rsidRDefault="00284C18" w:rsidP="00284C18">
            <w:pPr>
              <w:pStyle w:val="TableParagraph"/>
            </w:pPr>
            <w:r w:rsidRPr="00F00714">
              <w:t>46.2</w:t>
            </w:r>
          </w:p>
        </w:tc>
        <w:tc>
          <w:tcPr>
            <w:tcW w:w="634" w:type="pct"/>
            <w:vAlign w:val="center"/>
            <w:hideMark/>
          </w:tcPr>
          <w:p w14:paraId="4475CB91" w14:textId="77777777" w:rsidR="00284C18" w:rsidRPr="00F00714" w:rsidRDefault="00284C18" w:rsidP="00284C18">
            <w:pPr>
              <w:pStyle w:val="TableParagraph"/>
            </w:pPr>
            <w:r w:rsidRPr="00F00714">
              <w:t>Petroleum Refineries</w:t>
            </w:r>
          </w:p>
        </w:tc>
        <w:tc>
          <w:tcPr>
            <w:tcW w:w="437" w:type="pct"/>
            <w:vAlign w:val="center"/>
            <w:hideMark/>
          </w:tcPr>
          <w:p w14:paraId="760F63C5" w14:textId="77777777" w:rsidR="00284C18" w:rsidRPr="00F00714" w:rsidRDefault="00284C18" w:rsidP="00284C18">
            <w:pPr>
              <w:pStyle w:val="TableParagraph"/>
            </w:pPr>
            <w:r w:rsidRPr="00F00714">
              <w:t>NWCAA</w:t>
            </w:r>
          </w:p>
        </w:tc>
      </w:tr>
      <w:tr w:rsidR="00284C18" w:rsidRPr="00F00714" w14:paraId="2F778798" w14:textId="77777777" w:rsidTr="00284C18">
        <w:trPr>
          <w:cantSplit/>
          <w:trHeight w:val="1296"/>
        </w:trPr>
        <w:tc>
          <w:tcPr>
            <w:tcW w:w="670" w:type="pct"/>
            <w:vAlign w:val="center"/>
            <w:hideMark/>
          </w:tcPr>
          <w:p w14:paraId="35B155DD" w14:textId="77777777" w:rsidR="00284C18" w:rsidRPr="00F00714" w:rsidRDefault="00284C18" w:rsidP="00284C18">
            <w:pPr>
              <w:pStyle w:val="TableParagraph"/>
            </w:pPr>
            <w:r w:rsidRPr="00F00714">
              <w:t>RockTenn Tacoma Mill</w:t>
            </w:r>
          </w:p>
        </w:tc>
        <w:tc>
          <w:tcPr>
            <w:tcW w:w="321" w:type="pct"/>
            <w:vAlign w:val="center"/>
            <w:hideMark/>
          </w:tcPr>
          <w:p w14:paraId="6F37D90C" w14:textId="77777777" w:rsidR="00284C18" w:rsidRPr="00F00714" w:rsidRDefault="00284C18" w:rsidP="00284C18">
            <w:pPr>
              <w:pStyle w:val="TableParagraph"/>
            </w:pPr>
            <w:r w:rsidRPr="00F00714">
              <w:t>major</w:t>
            </w:r>
          </w:p>
        </w:tc>
        <w:tc>
          <w:tcPr>
            <w:tcW w:w="393" w:type="pct"/>
            <w:vAlign w:val="center"/>
          </w:tcPr>
          <w:p w14:paraId="393B990A" w14:textId="3261B0E5" w:rsidR="00284C18" w:rsidRPr="00F00714" w:rsidRDefault="00284C18" w:rsidP="00284C18">
            <w:pPr>
              <w:pStyle w:val="TableParagraph"/>
            </w:pPr>
            <w:r w:rsidRPr="00F00714">
              <w:t>1353.7</w:t>
            </w:r>
          </w:p>
        </w:tc>
        <w:tc>
          <w:tcPr>
            <w:tcW w:w="393" w:type="pct"/>
            <w:vAlign w:val="center"/>
            <w:hideMark/>
          </w:tcPr>
          <w:p w14:paraId="4C8E926D" w14:textId="7A375EC5" w:rsidR="00284C18" w:rsidRPr="00F00714" w:rsidRDefault="00284C18" w:rsidP="00284C18">
            <w:pPr>
              <w:pStyle w:val="TableParagraph"/>
            </w:pPr>
            <w:r w:rsidRPr="00F00714">
              <w:t>48.4</w:t>
            </w:r>
          </w:p>
        </w:tc>
        <w:tc>
          <w:tcPr>
            <w:tcW w:w="302" w:type="pct"/>
            <w:vAlign w:val="center"/>
            <w:hideMark/>
          </w:tcPr>
          <w:p w14:paraId="15FC08E5" w14:textId="77777777" w:rsidR="00284C18" w:rsidRPr="00F00714" w:rsidRDefault="00284C18" w:rsidP="00284C18">
            <w:pPr>
              <w:pStyle w:val="TableParagraph"/>
            </w:pPr>
            <w:r w:rsidRPr="00F00714">
              <w:t>27.9</w:t>
            </w:r>
          </w:p>
        </w:tc>
        <w:tc>
          <w:tcPr>
            <w:tcW w:w="514" w:type="pct"/>
            <w:vAlign w:val="center"/>
            <w:hideMark/>
          </w:tcPr>
          <w:p w14:paraId="00EE0459" w14:textId="77777777" w:rsidR="00284C18" w:rsidRPr="00F00714" w:rsidRDefault="00284C18" w:rsidP="00284C18">
            <w:pPr>
              <w:pStyle w:val="TableParagraph"/>
            </w:pPr>
            <w:r w:rsidRPr="00F00714">
              <w:t>Mount Rainier NP</w:t>
            </w:r>
          </w:p>
        </w:tc>
        <w:tc>
          <w:tcPr>
            <w:tcW w:w="350" w:type="pct"/>
            <w:vAlign w:val="center"/>
            <w:hideMark/>
          </w:tcPr>
          <w:p w14:paraId="462984ED" w14:textId="77777777" w:rsidR="00284C18" w:rsidRPr="00F00714" w:rsidRDefault="00284C18" w:rsidP="00284C18">
            <w:pPr>
              <w:pStyle w:val="TableParagraph"/>
            </w:pPr>
            <w:r w:rsidRPr="00F00714">
              <w:t>940.3</w:t>
            </w:r>
          </w:p>
        </w:tc>
        <w:tc>
          <w:tcPr>
            <w:tcW w:w="302" w:type="pct"/>
            <w:vAlign w:val="center"/>
            <w:hideMark/>
          </w:tcPr>
          <w:p w14:paraId="41DD5396" w14:textId="77777777" w:rsidR="00284C18" w:rsidRPr="00F00714" w:rsidRDefault="00284C18" w:rsidP="00284C18">
            <w:pPr>
              <w:pStyle w:val="TableParagraph"/>
            </w:pPr>
            <w:r w:rsidRPr="00F00714">
              <w:t>145.7</w:t>
            </w:r>
          </w:p>
        </w:tc>
        <w:tc>
          <w:tcPr>
            <w:tcW w:w="350" w:type="pct"/>
            <w:vAlign w:val="center"/>
            <w:hideMark/>
          </w:tcPr>
          <w:p w14:paraId="62DC7E7A" w14:textId="77777777" w:rsidR="00284C18" w:rsidRPr="00F00714" w:rsidRDefault="00284C18" w:rsidP="00284C18">
            <w:pPr>
              <w:pStyle w:val="TableParagraph"/>
            </w:pPr>
            <w:r w:rsidRPr="00F00714">
              <w:t>260.9</w:t>
            </w:r>
          </w:p>
        </w:tc>
        <w:tc>
          <w:tcPr>
            <w:tcW w:w="334" w:type="pct"/>
            <w:vAlign w:val="center"/>
            <w:hideMark/>
          </w:tcPr>
          <w:p w14:paraId="3FECF81F" w14:textId="77777777" w:rsidR="00284C18" w:rsidRPr="00F00714" w:rsidRDefault="00284C18" w:rsidP="00284C18">
            <w:pPr>
              <w:pStyle w:val="TableParagraph"/>
            </w:pPr>
          </w:p>
        </w:tc>
        <w:tc>
          <w:tcPr>
            <w:tcW w:w="634" w:type="pct"/>
            <w:vAlign w:val="center"/>
            <w:hideMark/>
          </w:tcPr>
          <w:p w14:paraId="00F78306" w14:textId="77777777" w:rsidR="00284C18" w:rsidRPr="00F00714" w:rsidRDefault="00284C18" w:rsidP="00284C18">
            <w:pPr>
              <w:pStyle w:val="TableParagraph"/>
            </w:pPr>
            <w:r w:rsidRPr="00F00714">
              <w:t>Pulp, Paper, and Paperboard Mills</w:t>
            </w:r>
          </w:p>
        </w:tc>
        <w:tc>
          <w:tcPr>
            <w:tcW w:w="437" w:type="pct"/>
            <w:vAlign w:val="center"/>
            <w:hideMark/>
          </w:tcPr>
          <w:p w14:paraId="326A34C7" w14:textId="77777777" w:rsidR="00284C18" w:rsidRPr="00F00714" w:rsidRDefault="00284C18" w:rsidP="00284C18">
            <w:pPr>
              <w:pStyle w:val="TableParagraph"/>
            </w:pPr>
            <w:r w:rsidRPr="00F00714">
              <w:t>Industrial</w:t>
            </w:r>
          </w:p>
        </w:tc>
      </w:tr>
      <w:tr w:rsidR="00284C18" w:rsidRPr="00F00714" w14:paraId="281A8C6F" w14:textId="77777777" w:rsidTr="00284C18">
        <w:trPr>
          <w:cantSplit/>
          <w:trHeight w:val="1296"/>
        </w:trPr>
        <w:tc>
          <w:tcPr>
            <w:tcW w:w="670" w:type="pct"/>
            <w:vAlign w:val="center"/>
            <w:hideMark/>
          </w:tcPr>
          <w:p w14:paraId="17999445" w14:textId="77777777" w:rsidR="00284C18" w:rsidRPr="00F00714" w:rsidRDefault="00284C18" w:rsidP="00284C18">
            <w:pPr>
              <w:pStyle w:val="TableParagraph"/>
            </w:pPr>
            <w:r w:rsidRPr="00F00714">
              <w:t>Weyerhaeuser NR Company</w:t>
            </w:r>
          </w:p>
        </w:tc>
        <w:tc>
          <w:tcPr>
            <w:tcW w:w="321" w:type="pct"/>
            <w:vAlign w:val="center"/>
            <w:hideMark/>
          </w:tcPr>
          <w:p w14:paraId="79D9E62E" w14:textId="77777777" w:rsidR="00284C18" w:rsidRPr="00F00714" w:rsidRDefault="00284C18" w:rsidP="00284C18">
            <w:pPr>
              <w:pStyle w:val="TableParagraph"/>
            </w:pPr>
            <w:r w:rsidRPr="00F00714">
              <w:t>major</w:t>
            </w:r>
          </w:p>
        </w:tc>
        <w:tc>
          <w:tcPr>
            <w:tcW w:w="393" w:type="pct"/>
            <w:vAlign w:val="center"/>
          </w:tcPr>
          <w:p w14:paraId="3981CB7C" w14:textId="68CC0ED1" w:rsidR="00284C18" w:rsidRPr="00F00714" w:rsidRDefault="00284C18" w:rsidP="00284C18">
            <w:pPr>
              <w:pStyle w:val="TableParagraph"/>
            </w:pPr>
            <w:r w:rsidRPr="00F00714">
              <w:t>2656.0</w:t>
            </w:r>
          </w:p>
        </w:tc>
        <w:tc>
          <w:tcPr>
            <w:tcW w:w="393" w:type="pct"/>
            <w:vAlign w:val="center"/>
            <w:hideMark/>
          </w:tcPr>
          <w:p w14:paraId="3760635E" w14:textId="17A895A6" w:rsidR="00284C18" w:rsidRPr="00F00714" w:rsidRDefault="00284C18" w:rsidP="00284C18">
            <w:pPr>
              <w:pStyle w:val="TableParagraph"/>
            </w:pPr>
            <w:r w:rsidRPr="00F00714">
              <w:t>104.8</w:t>
            </w:r>
          </w:p>
        </w:tc>
        <w:tc>
          <w:tcPr>
            <w:tcW w:w="302" w:type="pct"/>
            <w:vAlign w:val="center"/>
            <w:hideMark/>
          </w:tcPr>
          <w:p w14:paraId="71EA2438" w14:textId="77777777" w:rsidR="00284C18" w:rsidRPr="00F00714" w:rsidRDefault="00284C18" w:rsidP="00284C18">
            <w:pPr>
              <w:pStyle w:val="TableParagraph"/>
            </w:pPr>
            <w:r w:rsidRPr="00F00714">
              <w:t>25.3</w:t>
            </w:r>
          </w:p>
        </w:tc>
        <w:tc>
          <w:tcPr>
            <w:tcW w:w="514" w:type="pct"/>
            <w:vAlign w:val="center"/>
            <w:hideMark/>
          </w:tcPr>
          <w:p w14:paraId="3E7C7D0B" w14:textId="77777777" w:rsidR="00284C18" w:rsidRPr="00F00714" w:rsidRDefault="00284C18" w:rsidP="00284C18">
            <w:pPr>
              <w:pStyle w:val="TableParagraph"/>
            </w:pPr>
            <w:r w:rsidRPr="00F00714">
              <w:t>Mount Adams Wilderness</w:t>
            </w:r>
          </w:p>
        </w:tc>
        <w:tc>
          <w:tcPr>
            <w:tcW w:w="350" w:type="pct"/>
            <w:vAlign w:val="center"/>
            <w:hideMark/>
          </w:tcPr>
          <w:p w14:paraId="48D5DCD9" w14:textId="77777777" w:rsidR="00284C18" w:rsidRPr="00F00714" w:rsidRDefault="00284C18" w:rsidP="00284C18">
            <w:pPr>
              <w:pStyle w:val="TableParagraph"/>
            </w:pPr>
            <w:r w:rsidRPr="00F00714">
              <w:t>2086.3</w:t>
            </w:r>
          </w:p>
        </w:tc>
        <w:tc>
          <w:tcPr>
            <w:tcW w:w="302" w:type="pct"/>
            <w:vAlign w:val="center"/>
            <w:hideMark/>
          </w:tcPr>
          <w:p w14:paraId="4F86401B" w14:textId="77777777" w:rsidR="00284C18" w:rsidRPr="00F00714" w:rsidRDefault="00284C18" w:rsidP="00284C18">
            <w:pPr>
              <w:pStyle w:val="TableParagraph"/>
            </w:pPr>
            <w:r w:rsidRPr="00F00714">
              <w:t>123.4</w:t>
            </w:r>
          </w:p>
        </w:tc>
        <w:tc>
          <w:tcPr>
            <w:tcW w:w="350" w:type="pct"/>
            <w:vAlign w:val="center"/>
            <w:hideMark/>
          </w:tcPr>
          <w:p w14:paraId="6C562C64" w14:textId="77777777" w:rsidR="00284C18" w:rsidRPr="00F00714" w:rsidRDefault="00284C18" w:rsidP="00284C18">
            <w:pPr>
              <w:pStyle w:val="TableParagraph"/>
            </w:pPr>
            <w:r w:rsidRPr="00F00714">
              <w:t>440.3</w:t>
            </w:r>
          </w:p>
        </w:tc>
        <w:tc>
          <w:tcPr>
            <w:tcW w:w="334" w:type="pct"/>
            <w:vAlign w:val="center"/>
            <w:hideMark/>
          </w:tcPr>
          <w:p w14:paraId="40F1D756" w14:textId="77777777" w:rsidR="00284C18" w:rsidRPr="00F00714" w:rsidRDefault="00284C18" w:rsidP="00284C18">
            <w:pPr>
              <w:pStyle w:val="TableParagraph"/>
            </w:pPr>
          </w:p>
        </w:tc>
        <w:tc>
          <w:tcPr>
            <w:tcW w:w="634" w:type="pct"/>
            <w:vAlign w:val="center"/>
            <w:hideMark/>
          </w:tcPr>
          <w:p w14:paraId="18DEE45F" w14:textId="77777777" w:rsidR="00284C18" w:rsidRPr="00F00714" w:rsidRDefault="00284C18" w:rsidP="00284C18">
            <w:pPr>
              <w:pStyle w:val="TableParagraph"/>
            </w:pPr>
            <w:r w:rsidRPr="00F00714">
              <w:t>Paperboard Mills</w:t>
            </w:r>
          </w:p>
        </w:tc>
        <w:tc>
          <w:tcPr>
            <w:tcW w:w="437" w:type="pct"/>
            <w:vAlign w:val="center"/>
            <w:hideMark/>
          </w:tcPr>
          <w:p w14:paraId="39EBDA18" w14:textId="77777777" w:rsidR="00284C18" w:rsidRPr="00F00714" w:rsidRDefault="00284C18" w:rsidP="00284C18">
            <w:pPr>
              <w:pStyle w:val="TableParagraph"/>
            </w:pPr>
            <w:r w:rsidRPr="00F00714">
              <w:t>Industrial</w:t>
            </w:r>
          </w:p>
        </w:tc>
      </w:tr>
      <w:tr w:rsidR="00284C18" w:rsidRPr="00F00714" w14:paraId="2E8C34F3" w14:textId="77777777" w:rsidTr="00284C18">
        <w:trPr>
          <w:cantSplit/>
          <w:trHeight w:val="1296"/>
        </w:trPr>
        <w:tc>
          <w:tcPr>
            <w:tcW w:w="670" w:type="pct"/>
            <w:vAlign w:val="center"/>
            <w:hideMark/>
          </w:tcPr>
          <w:p w14:paraId="1D8A3D44" w14:textId="7B04C7A4" w:rsidR="00284C18" w:rsidRPr="00F00714" w:rsidRDefault="00284C18" w:rsidP="00284C18">
            <w:pPr>
              <w:pStyle w:val="TableParagraph"/>
            </w:pPr>
            <w:r w:rsidRPr="00F00714">
              <w:t>Puget Sound Refining Co. (Shell)</w:t>
            </w:r>
          </w:p>
        </w:tc>
        <w:tc>
          <w:tcPr>
            <w:tcW w:w="321" w:type="pct"/>
            <w:vAlign w:val="center"/>
            <w:hideMark/>
          </w:tcPr>
          <w:p w14:paraId="5B5D235B" w14:textId="77777777" w:rsidR="00284C18" w:rsidRPr="00F00714" w:rsidRDefault="00284C18" w:rsidP="00284C18">
            <w:pPr>
              <w:pStyle w:val="TableParagraph"/>
            </w:pPr>
            <w:r w:rsidRPr="00F00714">
              <w:t>major</w:t>
            </w:r>
          </w:p>
        </w:tc>
        <w:tc>
          <w:tcPr>
            <w:tcW w:w="393" w:type="pct"/>
            <w:vAlign w:val="center"/>
          </w:tcPr>
          <w:p w14:paraId="585446C9" w14:textId="776148A8" w:rsidR="00284C18" w:rsidRPr="00F00714" w:rsidRDefault="00284C18" w:rsidP="00284C18">
            <w:pPr>
              <w:pStyle w:val="TableParagraph"/>
            </w:pPr>
            <w:r w:rsidRPr="00F00714">
              <w:t>1793.1</w:t>
            </w:r>
          </w:p>
        </w:tc>
        <w:tc>
          <w:tcPr>
            <w:tcW w:w="393" w:type="pct"/>
            <w:vAlign w:val="center"/>
            <w:hideMark/>
          </w:tcPr>
          <w:p w14:paraId="1F22491B" w14:textId="131CF0F3" w:rsidR="00284C18" w:rsidRPr="00F00714" w:rsidRDefault="00284C18" w:rsidP="00284C18">
            <w:pPr>
              <w:pStyle w:val="TableParagraph"/>
            </w:pPr>
            <w:r w:rsidRPr="00F00714">
              <w:t>73.0</w:t>
            </w:r>
          </w:p>
        </w:tc>
        <w:tc>
          <w:tcPr>
            <w:tcW w:w="302" w:type="pct"/>
            <w:vAlign w:val="center"/>
            <w:hideMark/>
          </w:tcPr>
          <w:p w14:paraId="26712985" w14:textId="77777777" w:rsidR="00284C18" w:rsidRPr="00F00714" w:rsidRDefault="00284C18" w:rsidP="00284C18">
            <w:pPr>
              <w:pStyle w:val="TableParagraph"/>
            </w:pPr>
            <w:r w:rsidRPr="00F00714">
              <w:t>24.5</w:t>
            </w:r>
          </w:p>
        </w:tc>
        <w:tc>
          <w:tcPr>
            <w:tcW w:w="514" w:type="pct"/>
            <w:vAlign w:val="center"/>
            <w:hideMark/>
          </w:tcPr>
          <w:p w14:paraId="5E52987A" w14:textId="77777777" w:rsidR="00284C18" w:rsidRPr="00F00714" w:rsidRDefault="00284C18" w:rsidP="00284C18">
            <w:pPr>
              <w:pStyle w:val="TableParagraph"/>
            </w:pPr>
            <w:r w:rsidRPr="00F00714">
              <w:t>Olympic NP</w:t>
            </w:r>
          </w:p>
        </w:tc>
        <w:tc>
          <w:tcPr>
            <w:tcW w:w="350" w:type="pct"/>
            <w:vAlign w:val="center"/>
            <w:hideMark/>
          </w:tcPr>
          <w:p w14:paraId="21B05867" w14:textId="77777777" w:rsidR="00284C18" w:rsidRPr="00F00714" w:rsidRDefault="00284C18" w:rsidP="00284C18">
            <w:pPr>
              <w:pStyle w:val="TableParagraph"/>
            </w:pPr>
            <w:r w:rsidRPr="00F00714">
              <w:t>1229.7</w:t>
            </w:r>
          </w:p>
        </w:tc>
        <w:tc>
          <w:tcPr>
            <w:tcW w:w="302" w:type="pct"/>
            <w:vAlign w:val="center"/>
            <w:hideMark/>
          </w:tcPr>
          <w:p w14:paraId="053C1B92" w14:textId="77777777" w:rsidR="00284C18" w:rsidRPr="00F00714" w:rsidRDefault="00284C18" w:rsidP="00284C18">
            <w:pPr>
              <w:pStyle w:val="TableParagraph"/>
            </w:pPr>
            <w:r w:rsidRPr="00F00714">
              <w:t>180.8</w:t>
            </w:r>
          </w:p>
        </w:tc>
        <w:tc>
          <w:tcPr>
            <w:tcW w:w="350" w:type="pct"/>
            <w:vAlign w:val="center"/>
            <w:hideMark/>
          </w:tcPr>
          <w:p w14:paraId="6DFA73B2" w14:textId="77777777" w:rsidR="00284C18" w:rsidRPr="00F00714" w:rsidRDefault="00284C18" w:rsidP="00284C18">
            <w:pPr>
              <w:pStyle w:val="TableParagraph"/>
            </w:pPr>
            <w:r w:rsidRPr="00F00714">
              <w:t>348.9</w:t>
            </w:r>
          </w:p>
        </w:tc>
        <w:tc>
          <w:tcPr>
            <w:tcW w:w="334" w:type="pct"/>
            <w:vAlign w:val="center"/>
            <w:hideMark/>
          </w:tcPr>
          <w:p w14:paraId="3C3574B1" w14:textId="77777777" w:rsidR="00284C18" w:rsidRPr="00F00714" w:rsidRDefault="00284C18" w:rsidP="00284C18">
            <w:pPr>
              <w:pStyle w:val="TableParagraph"/>
            </w:pPr>
            <w:r w:rsidRPr="00F00714">
              <w:t>31.6</w:t>
            </w:r>
          </w:p>
        </w:tc>
        <w:tc>
          <w:tcPr>
            <w:tcW w:w="634" w:type="pct"/>
            <w:vAlign w:val="center"/>
            <w:hideMark/>
          </w:tcPr>
          <w:p w14:paraId="69CA7C0C" w14:textId="77777777" w:rsidR="00284C18" w:rsidRPr="00F00714" w:rsidRDefault="00284C18" w:rsidP="00284C18">
            <w:pPr>
              <w:pStyle w:val="TableParagraph"/>
            </w:pPr>
            <w:r w:rsidRPr="00F00714">
              <w:t>Petroleum Refineries</w:t>
            </w:r>
          </w:p>
        </w:tc>
        <w:tc>
          <w:tcPr>
            <w:tcW w:w="437" w:type="pct"/>
            <w:vAlign w:val="center"/>
            <w:hideMark/>
          </w:tcPr>
          <w:p w14:paraId="1805B8B8" w14:textId="77777777" w:rsidR="00284C18" w:rsidRPr="00F00714" w:rsidRDefault="00284C18" w:rsidP="00284C18">
            <w:pPr>
              <w:pStyle w:val="TableParagraph"/>
            </w:pPr>
            <w:r w:rsidRPr="00F00714">
              <w:t>NWCAA</w:t>
            </w:r>
          </w:p>
        </w:tc>
      </w:tr>
      <w:tr w:rsidR="00284C18" w:rsidRPr="00F00714" w14:paraId="27EC2D86" w14:textId="77777777" w:rsidTr="00284C18">
        <w:trPr>
          <w:cantSplit/>
          <w:trHeight w:val="1296"/>
        </w:trPr>
        <w:tc>
          <w:tcPr>
            <w:tcW w:w="670" w:type="pct"/>
            <w:vAlign w:val="center"/>
            <w:hideMark/>
          </w:tcPr>
          <w:p w14:paraId="53D81A67" w14:textId="77777777" w:rsidR="00284C18" w:rsidRPr="00F00714" w:rsidRDefault="00284C18" w:rsidP="00284C18">
            <w:pPr>
              <w:pStyle w:val="TableParagraph"/>
            </w:pPr>
            <w:r w:rsidRPr="00F00714">
              <w:t>Pt Townsend Paper</w:t>
            </w:r>
          </w:p>
        </w:tc>
        <w:tc>
          <w:tcPr>
            <w:tcW w:w="321" w:type="pct"/>
            <w:vAlign w:val="center"/>
            <w:hideMark/>
          </w:tcPr>
          <w:p w14:paraId="2479D03D" w14:textId="77777777" w:rsidR="00284C18" w:rsidRPr="00F00714" w:rsidRDefault="00284C18" w:rsidP="00284C18">
            <w:pPr>
              <w:pStyle w:val="TableParagraph"/>
            </w:pPr>
            <w:r w:rsidRPr="00F00714">
              <w:t>major</w:t>
            </w:r>
          </w:p>
        </w:tc>
        <w:tc>
          <w:tcPr>
            <w:tcW w:w="393" w:type="pct"/>
            <w:vAlign w:val="center"/>
          </w:tcPr>
          <w:p w14:paraId="70A232F2" w14:textId="6A2D41FA" w:rsidR="00284C18" w:rsidRPr="00F00714" w:rsidRDefault="00284C18" w:rsidP="00284C18">
            <w:pPr>
              <w:pStyle w:val="TableParagraph"/>
            </w:pPr>
            <w:r w:rsidRPr="00F00714">
              <w:t>848.0</w:t>
            </w:r>
          </w:p>
        </w:tc>
        <w:tc>
          <w:tcPr>
            <w:tcW w:w="393" w:type="pct"/>
            <w:vAlign w:val="center"/>
            <w:hideMark/>
          </w:tcPr>
          <w:p w14:paraId="7036806F" w14:textId="5BEB6583" w:rsidR="00284C18" w:rsidRPr="00F00714" w:rsidRDefault="00284C18" w:rsidP="00284C18">
            <w:pPr>
              <w:pStyle w:val="TableParagraph"/>
            </w:pPr>
            <w:r w:rsidRPr="00F00714">
              <w:t>35.0</w:t>
            </w:r>
          </w:p>
        </w:tc>
        <w:tc>
          <w:tcPr>
            <w:tcW w:w="302" w:type="pct"/>
            <w:vAlign w:val="center"/>
            <w:hideMark/>
          </w:tcPr>
          <w:p w14:paraId="31B72CBD" w14:textId="77777777" w:rsidR="00284C18" w:rsidRPr="00F00714" w:rsidRDefault="00284C18" w:rsidP="00284C18">
            <w:pPr>
              <w:pStyle w:val="TableParagraph"/>
            </w:pPr>
            <w:r w:rsidRPr="00F00714">
              <w:t>24.2</w:t>
            </w:r>
          </w:p>
        </w:tc>
        <w:tc>
          <w:tcPr>
            <w:tcW w:w="514" w:type="pct"/>
            <w:vAlign w:val="center"/>
            <w:hideMark/>
          </w:tcPr>
          <w:p w14:paraId="5B3C2CD8" w14:textId="77777777" w:rsidR="00284C18" w:rsidRPr="00F00714" w:rsidRDefault="00284C18" w:rsidP="00284C18">
            <w:pPr>
              <w:pStyle w:val="TableParagraph"/>
            </w:pPr>
            <w:r w:rsidRPr="00F00714">
              <w:t>Olympic NP</w:t>
            </w:r>
          </w:p>
        </w:tc>
        <w:tc>
          <w:tcPr>
            <w:tcW w:w="350" w:type="pct"/>
            <w:vAlign w:val="center"/>
            <w:hideMark/>
          </w:tcPr>
          <w:p w14:paraId="2E9140AC" w14:textId="77777777" w:rsidR="00284C18" w:rsidRPr="00F00714" w:rsidRDefault="00284C18" w:rsidP="00284C18">
            <w:pPr>
              <w:pStyle w:val="TableParagraph"/>
            </w:pPr>
            <w:r w:rsidRPr="00F00714">
              <w:t>494.0</w:t>
            </w:r>
          </w:p>
        </w:tc>
        <w:tc>
          <w:tcPr>
            <w:tcW w:w="302" w:type="pct"/>
            <w:vAlign w:val="center"/>
            <w:hideMark/>
          </w:tcPr>
          <w:p w14:paraId="156AD709" w14:textId="77777777" w:rsidR="00284C18" w:rsidRPr="00F00714" w:rsidRDefault="00284C18" w:rsidP="00284C18">
            <w:pPr>
              <w:pStyle w:val="TableParagraph"/>
            </w:pPr>
            <w:r w:rsidRPr="00F00714">
              <w:t>210.0</w:t>
            </w:r>
          </w:p>
        </w:tc>
        <w:tc>
          <w:tcPr>
            <w:tcW w:w="350" w:type="pct"/>
            <w:vAlign w:val="center"/>
            <w:hideMark/>
          </w:tcPr>
          <w:p w14:paraId="3EC831DC" w14:textId="77777777" w:rsidR="00284C18" w:rsidRPr="00F00714" w:rsidRDefault="00284C18" w:rsidP="00284C18">
            <w:pPr>
              <w:pStyle w:val="TableParagraph"/>
            </w:pPr>
            <w:r w:rsidRPr="00F00714">
              <w:t>79.0</w:t>
            </w:r>
          </w:p>
        </w:tc>
        <w:tc>
          <w:tcPr>
            <w:tcW w:w="334" w:type="pct"/>
            <w:vAlign w:val="center"/>
            <w:hideMark/>
          </w:tcPr>
          <w:p w14:paraId="212DAA9A" w14:textId="77777777" w:rsidR="00284C18" w:rsidRPr="00F00714" w:rsidRDefault="00284C18" w:rsidP="00284C18">
            <w:pPr>
              <w:pStyle w:val="TableParagraph"/>
            </w:pPr>
          </w:p>
        </w:tc>
        <w:tc>
          <w:tcPr>
            <w:tcW w:w="634" w:type="pct"/>
            <w:vAlign w:val="center"/>
            <w:hideMark/>
          </w:tcPr>
          <w:p w14:paraId="6FF69C13" w14:textId="77777777" w:rsidR="00284C18" w:rsidRPr="00F00714" w:rsidRDefault="00284C18" w:rsidP="00284C18">
            <w:pPr>
              <w:pStyle w:val="TableParagraph"/>
            </w:pPr>
            <w:r w:rsidRPr="00F00714">
              <w:t>Paper (except Newsprint) Mills</w:t>
            </w:r>
          </w:p>
        </w:tc>
        <w:tc>
          <w:tcPr>
            <w:tcW w:w="437" w:type="pct"/>
            <w:vAlign w:val="center"/>
            <w:hideMark/>
          </w:tcPr>
          <w:p w14:paraId="62CE85B4" w14:textId="77777777" w:rsidR="00284C18" w:rsidRPr="00F00714" w:rsidRDefault="00284C18" w:rsidP="00284C18">
            <w:pPr>
              <w:pStyle w:val="TableParagraph"/>
            </w:pPr>
            <w:r w:rsidRPr="00F00714">
              <w:t>Industrial</w:t>
            </w:r>
          </w:p>
        </w:tc>
      </w:tr>
      <w:tr w:rsidR="00284C18" w:rsidRPr="00F00714" w14:paraId="2F4874CE" w14:textId="77777777" w:rsidTr="00284C18">
        <w:trPr>
          <w:cantSplit/>
          <w:trHeight w:val="1296"/>
        </w:trPr>
        <w:tc>
          <w:tcPr>
            <w:tcW w:w="670" w:type="pct"/>
            <w:vAlign w:val="center"/>
            <w:hideMark/>
          </w:tcPr>
          <w:p w14:paraId="2A9B2D12" w14:textId="77777777" w:rsidR="00284C18" w:rsidRPr="00F00714" w:rsidRDefault="00284C18" w:rsidP="00284C18">
            <w:pPr>
              <w:pStyle w:val="TableParagraph"/>
            </w:pPr>
            <w:r w:rsidRPr="00F00714">
              <w:lastRenderedPageBreak/>
              <w:t>Ash Grove Cement Co, E Marginal</w:t>
            </w:r>
          </w:p>
        </w:tc>
        <w:tc>
          <w:tcPr>
            <w:tcW w:w="321" w:type="pct"/>
            <w:vAlign w:val="center"/>
            <w:hideMark/>
          </w:tcPr>
          <w:p w14:paraId="1E1CD8A5" w14:textId="77777777" w:rsidR="00284C18" w:rsidRPr="00F00714" w:rsidRDefault="00284C18" w:rsidP="00284C18">
            <w:pPr>
              <w:pStyle w:val="TableParagraph"/>
            </w:pPr>
            <w:r w:rsidRPr="00F00714">
              <w:t>major</w:t>
            </w:r>
          </w:p>
        </w:tc>
        <w:tc>
          <w:tcPr>
            <w:tcW w:w="393" w:type="pct"/>
            <w:vAlign w:val="center"/>
          </w:tcPr>
          <w:p w14:paraId="184A7180" w14:textId="6548F1DA" w:rsidR="00284C18" w:rsidRPr="00F00714" w:rsidRDefault="00284C18" w:rsidP="00284C18">
            <w:pPr>
              <w:pStyle w:val="TableParagraph"/>
            </w:pPr>
            <w:r w:rsidRPr="00F00714">
              <w:t>1243.6</w:t>
            </w:r>
          </w:p>
        </w:tc>
        <w:tc>
          <w:tcPr>
            <w:tcW w:w="393" w:type="pct"/>
            <w:vAlign w:val="center"/>
            <w:hideMark/>
          </w:tcPr>
          <w:p w14:paraId="53AFE1E5" w14:textId="21AA2B43" w:rsidR="00284C18" w:rsidRPr="00F00714" w:rsidRDefault="00284C18" w:rsidP="00284C18">
            <w:pPr>
              <w:pStyle w:val="TableParagraph"/>
            </w:pPr>
            <w:r w:rsidRPr="00F00714">
              <w:t>53.8</w:t>
            </w:r>
          </w:p>
        </w:tc>
        <w:tc>
          <w:tcPr>
            <w:tcW w:w="302" w:type="pct"/>
            <w:vAlign w:val="center"/>
            <w:hideMark/>
          </w:tcPr>
          <w:p w14:paraId="6A373C06" w14:textId="77777777" w:rsidR="00284C18" w:rsidRPr="00F00714" w:rsidRDefault="00284C18" w:rsidP="00284C18">
            <w:pPr>
              <w:pStyle w:val="TableParagraph"/>
            </w:pPr>
            <w:r w:rsidRPr="00F00714">
              <w:t>23.1</w:t>
            </w:r>
          </w:p>
        </w:tc>
        <w:tc>
          <w:tcPr>
            <w:tcW w:w="514" w:type="pct"/>
            <w:vAlign w:val="center"/>
            <w:hideMark/>
          </w:tcPr>
          <w:p w14:paraId="64069528" w14:textId="77777777" w:rsidR="00284C18" w:rsidRPr="00F00714" w:rsidRDefault="00284C18" w:rsidP="00284C18">
            <w:pPr>
              <w:pStyle w:val="TableParagraph"/>
            </w:pPr>
            <w:r w:rsidRPr="00F00714">
              <w:t>Alpine Lakes Wilderness</w:t>
            </w:r>
          </w:p>
        </w:tc>
        <w:tc>
          <w:tcPr>
            <w:tcW w:w="350" w:type="pct"/>
            <w:vAlign w:val="center"/>
            <w:hideMark/>
          </w:tcPr>
          <w:p w14:paraId="6B951DB5" w14:textId="77777777" w:rsidR="00284C18" w:rsidRPr="00F00714" w:rsidRDefault="00284C18" w:rsidP="00284C18">
            <w:pPr>
              <w:pStyle w:val="TableParagraph"/>
            </w:pPr>
            <w:r w:rsidRPr="00F00714">
              <w:t>1144.0</w:t>
            </w:r>
          </w:p>
        </w:tc>
        <w:tc>
          <w:tcPr>
            <w:tcW w:w="302" w:type="pct"/>
            <w:vAlign w:val="center"/>
            <w:hideMark/>
          </w:tcPr>
          <w:p w14:paraId="52A1A476" w14:textId="77777777" w:rsidR="00284C18" w:rsidRPr="00F00714" w:rsidRDefault="00284C18" w:rsidP="00284C18">
            <w:pPr>
              <w:pStyle w:val="TableParagraph"/>
            </w:pPr>
            <w:r w:rsidRPr="00F00714">
              <w:t>33.5</w:t>
            </w:r>
          </w:p>
        </w:tc>
        <w:tc>
          <w:tcPr>
            <w:tcW w:w="350" w:type="pct"/>
            <w:vAlign w:val="center"/>
            <w:hideMark/>
          </w:tcPr>
          <w:p w14:paraId="1E2F1883" w14:textId="77777777" w:rsidR="00284C18" w:rsidRPr="00F00714" w:rsidRDefault="00284C18" w:rsidP="00284C18">
            <w:pPr>
              <w:pStyle w:val="TableParagraph"/>
            </w:pPr>
            <w:r w:rsidRPr="00F00714">
              <w:t>57.0</w:t>
            </w:r>
          </w:p>
        </w:tc>
        <w:tc>
          <w:tcPr>
            <w:tcW w:w="334" w:type="pct"/>
            <w:vAlign w:val="center"/>
            <w:hideMark/>
          </w:tcPr>
          <w:p w14:paraId="0FCC24AC" w14:textId="77777777" w:rsidR="00284C18" w:rsidRPr="00F00714" w:rsidRDefault="00284C18" w:rsidP="00284C18">
            <w:pPr>
              <w:pStyle w:val="TableParagraph"/>
            </w:pPr>
          </w:p>
        </w:tc>
        <w:tc>
          <w:tcPr>
            <w:tcW w:w="634" w:type="pct"/>
            <w:vAlign w:val="center"/>
            <w:hideMark/>
          </w:tcPr>
          <w:p w14:paraId="25A78E1D" w14:textId="77777777" w:rsidR="00284C18" w:rsidRPr="00F00714" w:rsidRDefault="00284C18" w:rsidP="00284C18">
            <w:pPr>
              <w:pStyle w:val="TableParagraph"/>
            </w:pPr>
            <w:r w:rsidRPr="00F00714">
              <w:t>Cement Manufacturing</w:t>
            </w:r>
          </w:p>
        </w:tc>
        <w:tc>
          <w:tcPr>
            <w:tcW w:w="437" w:type="pct"/>
            <w:vAlign w:val="center"/>
            <w:hideMark/>
          </w:tcPr>
          <w:p w14:paraId="2803A7C8" w14:textId="77777777" w:rsidR="00284C18" w:rsidRPr="00F00714" w:rsidRDefault="00284C18" w:rsidP="00284C18">
            <w:pPr>
              <w:pStyle w:val="TableParagraph"/>
            </w:pPr>
            <w:r w:rsidRPr="00F00714">
              <w:t>PSCAA</w:t>
            </w:r>
          </w:p>
        </w:tc>
      </w:tr>
      <w:tr w:rsidR="00284C18" w:rsidRPr="00F00714" w14:paraId="09F6FDD9" w14:textId="77777777" w:rsidTr="00284C18">
        <w:trPr>
          <w:cantSplit/>
          <w:trHeight w:val="1296"/>
        </w:trPr>
        <w:tc>
          <w:tcPr>
            <w:tcW w:w="670" w:type="pct"/>
            <w:vAlign w:val="center"/>
            <w:hideMark/>
          </w:tcPr>
          <w:p w14:paraId="09B5D1D0" w14:textId="77777777" w:rsidR="00284C18" w:rsidRPr="00F00714" w:rsidRDefault="00284C18" w:rsidP="00284C18">
            <w:pPr>
              <w:pStyle w:val="TableParagraph"/>
            </w:pPr>
            <w:r w:rsidRPr="00F00714">
              <w:t>Cosmo Specialty Fibers, Inc.</w:t>
            </w:r>
          </w:p>
        </w:tc>
        <w:tc>
          <w:tcPr>
            <w:tcW w:w="321" w:type="pct"/>
            <w:vAlign w:val="center"/>
            <w:hideMark/>
          </w:tcPr>
          <w:p w14:paraId="1F3EDD46" w14:textId="77777777" w:rsidR="00284C18" w:rsidRPr="00F00714" w:rsidRDefault="00284C18" w:rsidP="00284C18">
            <w:pPr>
              <w:pStyle w:val="TableParagraph"/>
            </w:pPr>
            <w:r w:rsidRPr="00F00714">
              <w:t>major</w:t>
            </w:r>
          </w:p>
        </w:tc>
        <w:tc>
          <w:tcPr>
            <w:tcW w:w="393" w:type="pct"/>
            <w:vAlign w:val="center"/>
          </w:tcPr>
          <w:p w14:paraId="206D3E0B" w14:textId="3A7336D3" w:rsidR="00284C18" w:rsidRPr="00F00714" w:rsidRDefault="00284C18" w:rsidP="00284C18">
            <w:pPr>
              <w:pStyle w:val="TableParagraph"/>
            </w:pPr>
            <w:r w:rsidRPr="00F00714">
              <w:t>973.8</w:t>
            </w:r>
          </w:p>
        </w:tc>
        <w:tc>
          <w:tcPr>
            <w:tcW w:w="393" w:type="pct"/>
            <w:vAlign w:val="center"/>
            <w:hideMark/>
          </w:tcPr>
          <w:p w14:paraId="49BB8F8F" w14:textId="42ADCBB9" w:rsidR="00284C18" w:rsidRPr="00F00714" w:rsidRDefault="00284C18" w:rsidP="00284C18">
            <w:pPr>
              <w:pStyle w:val="TableParagraph"/>
            </w:pPr>
            <w:r w:rsidRPr="00F00714">
              <w:t>58.2</w:t>
            </w:r>
          </w:p>
        </w:tc>
        <w:tc>
          <w:tcPr>
            <w:tcW w:w="302" w:type="pct"/>
            <w:vAlign w:val="center"/>
            <w:hideMark/>
          </w:tcPr>
          <w:p w14:paraId="1C9D166F" w14:textId="77777777" w:rsidR="00284C18" w:rsidRPr="00F00714" w:rsidRDefault="00284C18" w:rsidP="00284C18">
            <w:pPr>
              <w:pStyle w:val="TableParagraph"/>
            </w:pPr>
            <w:r w:rsidRPr="00F00714">
              <w:t>16.7</w:t>
            </w:r>
          </w:p>
        </w:tc>
        <w:tc>
          <w:tcPr>
            <w:tcW w:w="514" w:type="pct"/>
            <w:vAlign w:val="center"/>
            <w:hideMark/>
          </w:tcPr>
          <w:p w14:paraId="517267BB" w14:textId="77777777" w:rsidR="00284C18" w:rsidRPr="00F00714" w:rsidRDefault="00284C18" w:rsidP="00284C18">
            <w:pPr>
              <w:pStyle w:val="TableParagraph"/>
            </w:pPr>
            <w:r w:rsidRPr="00F00714">
              <w:t>Olympic NP</w:t>
            </w:r>
          </w:p>
        </w:tc>
        <w:tc>
          <w:tcPr>
            <w:tcW w:w="350" w:type="pct"/>
            <w:vAlign w:val="center"/>
            <w:hideMark/>
          </w:tcPr>
          <w:p w14:paraId="2D024EBF" w14:textId="77777777" w:rsidR="00284C18" w:rsidRPr="00F00714" w:rsidRDefault="00284C18" w:rsidP="00284C18">
            <w:pPr>
              <w:pStyle w:val="TableParagraph"/>
            </w:pPr>
            <w:r w:rsidRPr="00F00714">
              <w:t>465.2</w:t>
            </w:r>
          </w:p>
        </w:tc>
        <w:tc>
          <w:tcPr>
            <w:tcW w:w="302" w:type="pct"/>
            <w:vAlign w:val="center"/>
            <w:hideMark/>
          </w:tcPr>
          <w:p w14:paraId="4C93B8BF" w14:textId="77777777" w:rsidR="00284C18" w:rsidRPr="00F00714" w:rsidRDefault="00284C18" w:rsidP="00284C18">
            <w:pPr>
              <w:pStyle w:val="TableParagraph"/>
            </w:pPr>
            <w:r w:rsidRPr="00F00714">
              <w:t>262.0</w:t>
            </w:r>
          </w:p>
        </w:tc>
        <w:tc>
          <w:tcPr>
            <w:tcW w:w="350" w:type="pct"/>
            <w:vAlign w:val="center"/>
            <w:hideMark/>
          </w:tcPr>
          <w:p w14:paraId="5A235C8A" w14:textId="77777777" w:rsidR="00284C18" w:rsidRPr="00F00714" w:rsidRDefault="00284C18" w:rsidP="00284C18">
            <w:pPr>
              <w:pStyle w:val="TableParagraph"/>
            </w:pPr>
            <w:r w:rsidRPr="00F00714">
              <w:t>236.9</w:t>
            </w:r>
          </w:p>
        </w:tc>
        <w:tc>
          <w:tcPr>
            <w:tcW w:w="334" w:type="pct"/>
            <w:vAlign w:val="center"/>
            <w:hideMark/>
          </w:tcPr>
          <w:p w14:paraId="19A1FC37" w14:textId="77777777" w:rsidR="00284C18" w:rsidRPr="00F00714" w:rsidRDefault="00284C18" w:rsidP="00284C18">
            <w:pPr>
              <w:pStyle w:val="TableParagraph"/>
            </w:pPr>
            <w:r w:rsidRPr="00F00714">
              <w:t>0.1</w:t>
            </w:r>
          </w:p>
        </w:tc>
        <w:tc>
          <w:tcPr>
            <w:tcW w:w="634" w:type="pct"/>
            <w:vAlign w:val="center"/>
            <w:hideMark/>
          </w:tcPr>
          <w:p w14:paraId="76559AE6" w14:textId="77777777" w:rsidR="00284C18" w:rsidRPr="00F00714" w:rsidRDefault="00284C18" w:rsidP="00284C18">
            <w:pPr>
              <w:pStyle w:val="TableParagraph"/>
            </w:pPr>
            <w:r w:rsidRPr="00F00714">
              <w:t>Paperboard Mills</w:t>
            </w:r>
          </w:p>
        </w:tc>
        <w:tc>
          <w:tcPr>
            <w:tcW w:w="437" w:type="pct"/>
            <w:vAlign w:val="center"/>
            <w:hideMark/>
          </w:tcPr>
          <w:p w14:paraId="4D24705A" w14:textId="77777777" w:rsidR="00284C18" w:rsidRPr="00F00714" w:rsidRDefault="00284C18" w:rsidP="00284C18">
            <w:pPr>
              <w:pStyle w:val="TableParagraph"/>
            </w:pPr>
            <w:r w:rsidRPr="00F00714">
              <w:t>Industrial</w:t>
            </w:r>
          </w:p>
        </w:tc>
      </w:tr>
      <w:tr w:rsidR="00284C18" w:rsidRPr="00F00714" w14:paraId="22BD9D60" w14:textId="77777777" w:rsidTr="00284C18">
        <w:trPr>
          <w:cantSplit/>
          <w:trHeight w:val="1296"/>
        </w:trPr>
        <w:tc>
          <w:tcPr>
            <w:tcW w:w="670" w:type="pct"/>
            <w:vAlign w:val="center"/>
            <w:hideMark/>
          </w:tcPr>
          <w:p w14:paraId="63751671" w14:textId="77777777" w:rsidR="00284C18" w:rsidRPr="00F00714" w:rsidRDefault="00284C18" w:rsidP="00284C18">
            <w:pPr>
              <w:pStyle w:val="TableParagraph"/>
            </w:pPr>
            <w:r w:rsidRPr="00F00714">
              <w:t>Longview Fibre Paper and Packaging, Inc.</w:t>
            </w:r>
          </w:p>
        </w:tc>
        <w:tc>
          <w:tcPr>
            <w:tcW w:w="321" w:type="pct"/>
            <w:vAlign w:val="center"/>
            <w:hideMark/>
          </w:tcPr>
          <w:p w14:paraId="1DEAD820" w14:textId="77777777" w:rsidR="00284C18" w:rsidRPr="00F00714" w:rsidRDefault="00284C18" w:rsidP="00284C18">
            <w:pPr>
              <w:pStyle w:val="TableParagraph"/>
            </w:pPr>
            <w:r w:rsidRPr="00F00714">
              <w:t>major</w:t>
            </w:r>
          </w:p>
        </w:tc>
        <w:tc>
          <w:tcPr>
            <w:tcW w:w="393" w:type="pct"/>
            <w:vAlign w:val="center"/>
          </w:tcPr>
          <w:p w14:paraId="13567F0D" w14:textId="710B1571" w:rsidR="00284C18" w:rsidRPr="00F00714" w:rsidRDefault="00284C18" w:rsidP="00284C18">
            <w:pPr>
              <w:pStyle w:val="TableParagraph"/>
            </w:pPr>
            <w:r w:rsidRPr="00F00714">
              <w:t>1574.2</w:t>
            </w:r>
          </w:p>
        </w:tc>
        <w:tc>
          <w:tcPr>
            <w:tcW w:w="393" w:type="pct"/>
            <w:vAlign w:val="center"/>
            <w:hideMark/>
          </w:tcPr>
          <w:p w14:paraId="55720CC1" w14:textId="1FB58FB3" w:rsidR="00284C18" w:rsidRPr="00F00714" w:rsidRDefault="00284C18" w:rsidP="00284C18">
            <w:pPr>
              <w:pStyle w:val="TableParagraph"/>
            </w:pPr>
            <w:r w:rsidRPr="00F00714">
              <w:t>100.7</w:t>
            </w:r>
          </w:p>
        </w:tc>
        <w:tc>
          <w:tcPr>
            <w:tcW w:w="302" w:type="pct"/>
            <w:vAlign w:val="center"/>
            <w:hideMark/>
          </w:tcPr>
          <w:p w14:paraId="6BA14CB0" w14:textId="77777777" w:rsidR="00284C18" w:rsidRPr="00F00714" w:rsidRDefault="00284C18" w:rsidP="00284C18">
            <w:pPr>
              <w:pStyle w:val="TableParagraph"/>
            </w:pPr>
            <w:r w:rsidRPr="00F00714">
              <w:t>15.6</w:t>
            </w:r>
          </w:p>
        </w:tc>
        <w:tc>
          <w:tcPr>
            <w:tcW w:w="514" w:type="pct"/>
            <w:vAlign w:val="center"/>
            <w:hideMark/>
          </w:tcPr>
          <w:p w14:paraId="2607E9B6" w14:textId="77777777" w:rsidR="00284C18" w:rsidRPr="00F00714" w:rsidRDefault="00284C18" w:rsidP="00284C18">
            <w:pPr>
              <w:pStyle w:val="TableParagraph"/>
            </w:pPr>
            <w:r w:rsidRPr="00F00714">
              <w:t>Mount Adams Wilderness</w:t>
            </w:r>
          </w:p>
        </w:tc>
        <w:tc>
          <w:tcPr>
            <w:tcW w:w="350" w:type="pct"/>
            <w:vAlign w:val="center"/>
            <w:hideMark/>
          </w:tcPr>
          <w:p w14:paraId="189DA2A4" w14:textId="77777777" w:rsidR="00284C18" w:rsidRPr="00F00714" w:rsidRDefault="00284C18" w:rsidP="00284C18">
            <w:pPr>
              <w:pStyle w:val="TableParagraph"/>
            </w:pPr>
            <w:r w:rsidRPr="00F00714">
              <w:t>1215.3</w:t>
            </w:r>
          </w:p>
        </w:tc>
        <w:tc>
          <w:tcPr>
            <w:tcW w:w="302" w:type="pct"/>
            <w:vAlign w:val="center"/>
            <w:hideMark/>
          </w:tcPr>
          <w:p w14:paraId="727537E7" w14:textId="77777777" w:rsidR="00284C18" w:rsidRPr="00F00714" w:rsidRDefault="00284C18" w:rsidP="00284C18">
            <w:pPr>
              <w:pStyle w:val="TableParagraph"/>
            </w:pPr>
            <w:r w:rsidRPr="00F00714">
              <w:t>198.8</w:t>
            </w:r>
          </w:p>
        </w:tc>
        <w:tc>
          <w:tcPr>
            <w:tcW w:w="350" w:type="pct"/>
            <w:vAlign w:val="center"/>
            <w:hideMark/>
          </w:tcPr>
          <w:p w14:paraId="15EEA051" w14:textId="77777777" w:rsidR="00284C18" w:rsidRPr="00F00714" w:rsidRDefault="00284C18" w:rsidP="00284C18">
            <w:pPr>
              <w:pStyle w:val="TableParagraph"/>
            </w:pPr>
            <w:r w:rsidRPr="00F00714">
              <w:t>141.1</w:t>
            </w:r>
          </w:p>
        </w:tc>
        <w:tc>
          <w:tcPr>
            <w:tcW w:w="334" w:type="pct"/>
            <w:vAlign w:val="center"/>
            <w:hideMark/>
          </w:tcPr>
          <w:p w14:paraId="7E88FF97" w14:textId="77777777" w:rsidR="00284C18" w:rsidRPr="00F00714" w:rsidRDefault="00284C18" w:rsidP="00284C18">
            <w:pPr>
              <w:pStyle w:val="TableParagraph"/>
            </w:pPr>
          </w:p>
        </w:tc>
        <w:tc>
          <w:tcPr>
            <w:tcW w:w="634" w:type="pct"/>
            <w:vAlign w:val="center"/>
            <w:hideMark/>
          </w:tcPr>
          <w:p w14:paraId="68C23E96" w14:textId="77777777" w:rsidR="00284C18" w:rsidRPr="00F00714" w:rsidRDefault="00284C18" w:rsidP="00284C18">
            <w:pPr>
              <w:pStyle w:val="TableParagraph"/>
            </w:pPr>
            <w:r w:rsidRPr="00F00714">
              <w:t>Paperboard Mills</w:t>
            </w:r>
          </w:p>
        </w:tc>
        <w:tc>
          <w:tcPr>
            <w:tcW w:w="437" w:type="pct"/>
            <w:vAlign w:val="center"/>
            <w:hideMark/>
          </w:tcPr>
          <w:p w14:paraId="7EE7EEB5" w14:textId="77777777" w:rsidR="00284C18" w:rsidRPr="00F00714" w:rsidRDefault="00284C18" w:rsidP="00284C18">
            <w:pPr>
              <w:pStyle w:val="TableParagraph"/>
            </w:pPr>
            <w:r w:rsidRPr="00F00714">
              <w:t>Industrial</w:t>
            </w:r>
          </w:p>
        </w:tc>
      </w:tr>
      <w:tr w:rsidR="00284C18" w:rsidRPr="00F00714" w14:paraId="36ABC161" w14:textId="77777777" w:rsidTr="00284C18">
        <w:trPr>
          <w:cantSplit/>
          <w:trHeight w:val="1296"/>
        </w:trPr>
        <w:tc>
          <w:tcPr>
            <w:tcW w:w="670" w:type="pct"/>
            <w:vAlign w:val="center"/>
            <w:hideMark/>
          </w:tcPr>
          <w:p w14:paraId="5F4B3D05" w14:textId="77777777" w:rsidR="00284C18" w:rsidRPr="00F00714" w:rsidRDefault="00284C18" w:rsidP="00284C18">
            <w:pPr>
              <w:pStyle w:val="TableParagraph"/>
            </w:pPr>
            <w:r w:rsidRPr="00F00714">
              <w:t>Georgia-Pacific Consumer Products (Camas) LLC</w:t>
            </w:r>
          </w:p>
        </w:tc>
        <w:tc>
          <w:tcPr>
            <w:tcW w:w="321" w:type="pct"/>
            <w:vAlign w:val="center"/>
            <w:hideMark/>
          </w:tcPr>
          <w:p w14:paraId="6470DE27" w14:textId="77777777" w:rsidR="00284C18" w:rsidRPr="00F00714" w:rsidRDefault="00284C18" w:rsidP="00284C18">
            <w:pPr>
              <w:pStyle w:val="TableParagraph"/>
            </w:pPr>
            <w:r w:rsidRPr="00F00714">
              <w:t>major</w:t>
            </w:r>
          </w:p>
        </w:tc>
        <w:tc>
          <w:tcPr>
            <w:tcW w:w="393" w:type="pct"/>
            <w:vAlign w:val="center"/>
          </w:tcPr>
          <w:p w14:paraId="27F18931" w14:textId="51427341" w:rsidR="00284C18" w:rsidRPr="00F00714" w:rsidRDefault="00284C18" w:rsidP="00284C18">
            <w:pPr>
              <w:pStyle w:val="TableParagraph"/>
            </w:pPr>
            <w:r w:rsidRPr="00F00714">
              <w:t>653.0</w:t>
            </w:r>
          </w:p>
        </w:tc>
        <w:tc>
          <w:tcPr>
            <w:tcW w:w="393" w:type="pct"/>
            <w:vAlign w:val="center"/>
            <w:hideMark/>
          </w:tcPr>
          <w:p w14:paraId="5907693D" w14:textId="6B2C9232" w:rsidR="00284C18" w:rsidRPr="00F00714" w:rsidRDefault="00284C18" w:rsidP="00284C18">
            <w:pPr>
              <w:pStyle w:val="TableParagraph"/>
            </w:pPr>
            <w:r w:rsidRPr="00F00714">
              <w:t>45.4</w:t>
            </w:r>
          </w:p>
        </w:tc>
        <w:tc>
          <w:tcPr>
            <w:tcW w:w="302" w:type="pct"/>
            <w:vAlign w:val="center"/>
            <w:hideMark/>
          </w:tcPr>
          <w:p w14:paraId="6F53434B" w14:textId="77777777" w:rsidR="00284C18" w:rsidRPr="00F00714" w:rsidRDefault="00284C18" w:rsidP="00284C18">
            <w:pPr>
              <w:pStyle w:val="TableParagraph"/>
            </w:pPr>
            <w:r w:rsidRPr="00F00714">
              <w:t>14.4</w:t>
            </w:r>
          </w:p>
        </w:tc>
        <w:tc>
          <w:tcPr>
            <w:tcW w:w="514" w:type="pct"/>
            <w:vAlign w:val="center"/>
            <w:hideMark/>
          </w:tcPr>
          <w:p w14:paraId="68499246" w14:textId="77777777" w:rsidR="00284C18" w:rsidRPr="00F00714" w:rsidRDefault="00284C18" w:rsidP="00284C18">
            <w:pPr>
              <w:pStyle w:val="TableParagraph"/>
            </w:pPr>
            <w:r w:rsidRPr="00F00714">
              <w:t>Mount Hood Wilderness</w:t>
            </w:r>
          </w:p>
        </w:tc>
        <w:tc>
          <w:tcPr>
            <w:tcW w:w="350" w:type="pct"/>
            <w:vAlign w:val="center"/>
            <w:hideMark/>
          </w:tcPr>
          <w:p w14:paraId="697D7559" w14:textId="77777777" w:rsidR="00284C18" w:rsidRPr="00F00714" w:rsidRDefault="00284C18" w:rsidP="00284C18">
            <w:pPr>
              <w:pStyle w:val="TableParagraph"/>
            </w:pPr>
            <w:r w:rsidRPr="00F00714">
              <w:t>463.0</w:t>
            </w:r>
          </w:p>
        </w:tc>
        <w:tc>
          <w:tcPr>
            <w:tcW w:w="302" w:type="pct"/>
            <w:vAlign w:val="center"/>
            <w:hideMark/>
          </w:tcPr>
          <w:p w14:paraId="0D0BC315" w14:textId="77777777" w:rsidR="00284C18" w:rsidRPr="00F00714" w:rsidRDefault="00284C18" w:rsidP="00284C18">
            <w:pPr>
              <w:pStyle w:val="TableParagraph"/>
            </w:pPr>
            <w:r w:rsidRPr="00F00714">
              <w:t>147.0</w:t>
            </w:r>
          </w:p>
        </w:tc>
        <w:tc>
          <w:tcPr>
            <w:tcW w:w="350" w:type="pct"/>
            <w:vAlign w:val="center"/>
            <w:hideMark/>
          </w:tcPr>
          <w:p w14:paraId="1747B7C0" w14:textId="77777777" w:rsidR="00284C18" w:rsidRPr="00F00714" w:rsidRDefault="00284C18" w:rsidP="00284C18">
            <w:pPr>
              <w:pStyle w:val="TableParagraph"/>
            </w:pPr>
            <w:r w:rsidRPr="00F00714">
              <w:t>17.0</w:t>
            </w:r>
          </w:p>
        </w:tc>
        <w:tc>
          <w:tcPr>
            <w:tcW w:w="334" w:type="pct"/>
            <w:vAlign w:val="center"/>
            <w:hideMark/>
          </w:tcPr>
          <w:p w14:paraId="3561004A" w14:textId="77777777" w:rsidR="00284C18" w:rsidRPr="00F00714" w:rsidRDefault="00284C18" w:rsidP="00284C18">
            <w:pPr>
              <w:pStyle w:val="TableParagraph"/>
            </w:pPr>
          </w:p>
        </w:tc>
        <w:tc>
          <w:tcPr>
            <w:tcW w:w="634" w:type="pct"/>
            <w:vAlign w:val="center"/>
            <w:hideMark/>
          </w:tcPr>
          <w:p w14:paraId="6554F1EB" w14:textId="77777777" w:rsidR="00284C18" w:rsidRPr="00F00714" w:rsidRDefault="00284C18" w:rsidP="00284C18">
            <w:pPr>
              <w:pStyle w:val="TableParagraph"/>
            </w:pPr>
            <w:r w:rsidRPr="00F00714">
              <w:t>Paper (except Newsprint) Mills</w:t>
            </w:r>
          </w:p>
        </w:tc>
        <w:tc>
          <w:tcPr>
            <w:tcW w:w="437" w:type="pct"/>
            <w:vAlign w:val="center"/>
            <w:hideMark/>
          </w:tcPr>
          <w:p w14:paraId="06D1B8D0" w14:textId="77777777" w:rsidR="00284C18" w:rsidRPr="00F00714" w:rsidRDefault="00284C18" w:rsidP="00284C18">
            <w:pPr>
              <w:pStyle w:val="TableParagraph"/>
            </w:pPr>
            <w:r w:rsidRPr="00F00714">
              <w:t>Industrial</w:t>
            </w:r>
          </w:p>
        </w:tc>
      </w:tr>
      <w:tr w:rsidR="00284C18" w:rsidRPr="00F00714" w14:paraId="6115B65F" w14:textId="77777777" w:rsidTr="00284C18">
        <w:trPr>
          <w:cantSplit/>
          <w:trHeight w:val="1296"/>
        </w:trPr>
        <w:tc>
          <w:tcPr>
            <w:tcW w:w="670" w:type="pct"/>
            <w:vAlign w:val="center"/>
            <w:hideMark/>
          </w:tcPr>
          <w:p w14:paraId="76267A74" w14:textId="77777777" w:rsidR="00284C18" w:rsidRPr="002D61F7" w:rsidRDefault="00284C18" w:rsidP="00284C18">
            <w:pPr>
              <w:pStyle w:val="TableParagraph"/>
              <w:rPr>
                <w:b/>
              </w:rPr>
            </w:pPr>
            <w:r w:rsidRPr="002D61F7">
              <w:rPr>
                <w:b/>
              </w:rPr>
              <w:t>Interfor US Inc – Port Angeles Division</w:t>
            </w:r>
          </w:p>
        </w:tc>
        <w:tc>
          <w:tcPr>
            <w:tcW w:w="321" w:type="pct"/>
            <w:vAlign w:val="center"/>
            <w:hideMark/>
          </w:tcPr>
          <w:p w14:paraId="3D34BAA3" w14:textId="349C515C" w:rsidR="00284C18" w:rsidRPr="002D61F7" w:rsidRDefault="00284C18" w:rsidP="00284C18">
            <w:pPr>
              <w:pStyle w:val="TableParagraph"/>
              <w:rPr>
                <w:b/>
              </w:rPr>
            </w:pPr>
            <w:r>
              <w:rPr>
                <w:b/>
              </w:rPr>
              <w:t>n</w:t>
            </w:r>
            <w:r w:rsidRPr="002D61F7">
              <w:rPr>
                <w:b/>
              </w:rPr>
              <w:t>on</w:t>
            </w:r>
            <w:r>
              <w:rPr>
                <w:b/>
              </w:rPr>
              <w:t>-major</w:t>
            </w:r>
          </w:p>
        </w:tc>
        <w:tc>
          <w:tcPr>
            <w:tcW w:w="393" w:type="pct"/>
            <w:vAlign w:val="center"/>
          </w:tcPr>
          <w:p w14:paraId="44AA16A5" w14:textId="7D4C7155" w:rsidR="00284C18" w:rsidRPr="002D61F7" w:rsidRDefault="00284C18" w:rsidP="00284C18">
            <w:pPr>
              <w:pStyle w:val="TableParagraph"/>
              <w:rPr>
                <w:b/>
              </w:rPr>
            </w:pPr>
            <w:r w:rsidRPr="002D61F7">
              <w:rPr>
                <w:b/>
              </w:rPr>
              <w:t>77.0</w:t>
            </w:r>
          </w:p>
        </w:tc>
        <w:tc>
          <w:tcPr>
            <w:tcW w:w="393" w:type="pct"/>
            <w:vAlign w:val="center"/>
            <w:hideMark/>
          </w:tcPr>
          <w:p w14:paraId="2AE8DADB" w14:textId="1EBC9B9A" w:rsidR="00284C18" w:rsidRPr="002D61F7" w:rsidRDefault="00284C18" w:rsidP="00284C18">
            <w:pPr>
              <w:pStyle w:val="TableParagraph"/>
              <w:rPr>
                <w:b/>
              </w:rPr>
            </w:pPr>
            <w:r w:rsidRPr="002D61F7">
              <w:rPr>
                <w:b/>
              </w:rPr>
              <w:t>6.1</w:t>
            </w:r>
          </w:p>
        </w:tc>
        <w:tc>
          <w:tcPr>
            <w:tcW w:w="302" w:type="pct"/>
            <w:vAlign w:val="center"/>
            <w:hideMark/>
          </w:tcPr>
          <w:p w14:paraId="7CF23C3D" w14:textId="77777777" w:rsidR="00284C18" w:rsidRPr="002D61F7" w:rsidRDefault="00284C18" w:rsidP="00284C18">
            <w:pPr>
              <w:pStyle w:val="TableParagraph"/>
              <w:rPr>
                <w:b/>
              </w:rPr>
            </w:pPr>
            <w:r w:rsidRPr="002D61F7">
              <w:rPr>
                <w:b/>
              </w:rPr>
              <w:t>12.6</w:t>
            </w:r>
          </w:p>
        </w:tc>
        <w:tc>
          <w:tcPr>
            <w:tcW w:w="514" w:type="pct"/>
            <w:vAlign w:val="center"/>
            <w:hideMark/>
          </w:tcPr>
          <w:p w14:paraId="73FDEDBD" w14:textId="77777777" w:rsidR="00284C18" w:rsidRPr="002D61F7" w:rsidRDefault="00284C18" w:rsidP="00284C18">
            <w:pPr>
              <w:pStyle w:val="TableParagraph"/>
              <w:rPr>
                <w:b/>
              </w:rPr>
            </w:pPr>
            <w:r w:rsidRPr="002D61F7">
              <w:rPr>
                <w:b/>
              </w:rPr>
              <w:t>Olympic NP</w:t>
            </w:r>
          </w:p>
        </w:tc>
        <w:tc>
          <w:tcPr>
            <w:tcW w:w="350" w:type="pct"/>
            <w:vAlign w:val="center"/>
            <w:hideMark/>
          </w:tcPr>
          <w:p w14:paraId="6F9655FB" w14:textId="77777777" w:rsidR="00284C18" w:rsidRPr="002D61F7" w:rsidRDefault="00284C18" w:rsidP="00284C18">
            <w:pPr>
              <w:pStyle w:val="TableParagraph"/>
              <w:rPr>
                <w:b/>
              </w:rPr>
            </w:pPr>
            <w:r w:rsidRPr="002D61F7">
              <w:rPr>
                <w:b/>
              </w:rPr>
              <w:t>50.3</w:t>
            </w:r>
          </w:p>
        </w:tc>
        <w:tc>
          <w:tcPr>
            <w:tcW w:w="302" w:type="pct"/>
            <w:vAlign w:val="center"/>
            <w:hideMark/>
          </w:tcPr>
          <w:p w14:paraId="756D74CB" w14:textId="77777777" w:rsidR="00284C18" w:rsidRPr="002D61F7" w:rsidRDefault="00284C18" w:rsidP="00284C18">
            <w:pPr>
              <w:pStyle w:val="TableParagraph"/>
              <w:rPr>
                <w:b/>
              </w:rPr>
            </w:pPr>
            <w:r w:rsidRPr="002D61F7">
              <w:rPr>
                <w:b/>
              </w:rPr>
              <w:t>11.7</w:t>
            </w:r>
          </w:p>
        </w:tc>
        <w:tc>
          <w:tcPr>
            <w:tcW w:w="350" w:type="pct"/>
            <w:vAlign w:val="center"/>
            <w:hideMark/>
          </w:tcPr>
          <w:p w14:paraId="03267E45" w14:textId="77777777" w:rsidR="00284C18" w:rsidRPr="002D61F7" w:rsidRDefault="00284C18" w:rsidP="00284C18">
            <w:pPr>
              <w:pStyle w:val="TableParagraph"/>
              <w:rPr>
                <w:b/>
              </w:rPr>
            </w:pPr>
            <w:r w:rsidRPr="002D61F7">
              <w:rPr>
                <w:b/>
              </w:rPr>
              <w:t>6.3</w:t>
            </w:r>
          </w:p>
        </w:tc>
        <w:tc>
          <w:tcPr>
            <w:tcW w:w="334" w:type="pct"/>
            <w:vAlign w:val="center"/>
            <w:hideMark/>
          </w:tcPr>
          <w:p w14:paraId="76C6CD8B" w14:textId="77777777" w:rsidR="00284C18" w:rsidRPr="002D61F7" w:rsidRDefault="00284C18" w:rsidP="00284C18">
            <w:pPr>
              <w:pStyle w:val="TableParagraph"/>
              <w:rPr>
                <w:b/>
              </w:rPr>
            </w:pPr>
          </w:p>
        </w:tc>
        <w:tc>
          <w:tcPr>
            <w:tcW w:w="634" w:type="pct"/>
            <w:vAlign w:val="center"/>
            <w:hideMark/>
          </w:tcPr>
          <w:p w14:paraId="43C83B58" w14:textId="77777777" w:rsidR="00284C18" w:rsidRPr="002D61F7" w:rsidRDefault="00284C18" w:rsidP="00284C18">
            <w:pPr>
              <w:pStyle w:val="TableParagraph"/>
              <w:rPr>
                <w:b/>
              </w:rPr>
            </w:pPr>
            <w:r w:rsidRPr="002D61F7">
              <w:rPr>
                <w:b/>
              </w:rPr>
              <w:t>Lumber Mill - Logging</w:t>
            </w:r>
          </w:p>
        </w:tc>
        <w:tc>
          <w:tcPr>
            <w:tcW w:w="437" w:type="pct"/>
            <w:vAlign w:val="center"/>
            <w:hideMark/>
          </w:tcPr>
          <w:p w14:paraId="73997476" w14:textId="77777777" w:rsidR="00284C18" w:rsidRPr="002D61F7" w:rsidRDefault="00284C18" w:rsidP="00284C18">
            <w:pPr>
              <w:pStyle w:val="TableParagraph"/>
              <w:rPr>
                <w:b/>
              </w:rPr>
            </w:pPr>
            <w:r w:rsidRPr="002D61F7">
              <w:rPr>
                <w:b/>
              </w:rPr>
              <w:t>ORCAA</w:t>
            </w:r>
          </w:p>
        </w:tc>
      </w:tr>
      <w:tr w:rsidR="00284C18" w:rsidRPr="00F00714" w14:paraId="02A82509" w14:textId="77777777" w:rsidTr="00284C18">
        <w:trPr>
          <w:cantSplit/>
          <w:trHeight w:val="1296"/>
        </w:trPr>
        <w:tc>
          <w:tcPr>
            <w:tcW w:w="670" w:type="pct"/>
            <w:vAlign w:val="center"/>
            <w:hideMark/>
          </w:tcPr>
          <w:p w14:paraId="19023CBF" w14:textId="77777777" w:rsidR="00284C18" w:rsidRPr="00F00714" w:rsidRDefault="00284C18" w:rsidP="00284C18">
            <w:pPr>
              <w:pStyle w:val="TableParagraph"/>
            </w:pPr>
            <w:r w:rsidRPr="00F00714">
              <w:lastRenderedPageBreak/>
              <w:t>Phillips 66</w:t>
            </w:r>
          </w:p>
        </w:tc>
        <w:tc>
          <w:tcPr>
            <w:tcW w:w="321" w:type="pct"/>
            <w:vAlign w:val="center"/>
            <w:hideMark/>
          </w:tcPr>
          <w:p w14:paraId="05E123E3" w14:textId="77777777" w:rsidR="00284C18" w:rsidRPr="00F00714" w:rsidRDefault="00284C18" w:rsidP="00284C18">
            <w:pPr>
              <w:pStyle w:val="TableParagraph"/>
            </w:pPr>
            <w:r w:rsidRPr="00F00714">
              <w:t>major</w:t>
            </w:r>
          </w:p>
        </w:tc>
        <w:tc>
          <w:tcPr>
            <w:tcW w:w="393" w:type="pct"/>
            <w:vAlign w:val="center"/>
          </w:tcPr>
          <w:p w14:paraId="5598970D" w14:textId="78A4B938" w:rsidR="00284C18" w:rsidRPr="00F00714" w:rsidRDefault="00284C18" w:rsidP="00284C18">
            <w:pPr>
              <w:pStyle w:val="TableParagraph"/>
            </w:pPr>
            <w:r w:rsidRPr="00F00714">
              <w:t>840.6</w:t>
            </w:r>
          </w:p>
        </w:tc>
        <w:tc>
          <w:tcPr>
            <w:tcW w:w="393" w:type="pct"/>
            <w:vAlign w:val="center"/>
            <w:hideMark/>
          </w:tcPr>
          <w:p w14:paraId="292A6D4B" w14:textId="23ECFC52" w:rsidR="00284C18" w:rsidRPr="00F00714" w:rsidRDefault="00284C18" w:rsidP="00284C18">
            <w:pPr>
              <w:pStyle w:val="TableParagraph"/>
            </w:pPr>
            <w:r w:rsidRPr="00F00714">
              <w:t>77.2</w:t>
            </w:r>
          </w:p>
        </w:tc>
        <w:tc>
          <w:tcPr>
            <w:tcW w:w="302" w:type="pct"/>
            <w:vAlign w:val="center"/>
            <w:hideMark/>
          </w:tcPr>
          <w:p w14:paraId="7CCF7B80" w14:textId="77777777" w:rsidR="00284C18" w:rsidRPr="00F00714" w:rsidRDefault="00284C18" w:rsidP="00284C18">
            <w:pPr>
              <w:pStyle w:val="TableParagraph"/>
            </w:pPr>
            <w:r w:rsidRPr="00F00714">
              <w:t>10.9</w:t>
            </w:r>
          </w:p>
        </w:tc>
        <w:tc>
          <w:tcPr>
            <w:tcW w:w="514" w:type="pct"/>
            <w:vAlign w:val="center"/>
            <w:hideMark/>
          </w:tcPr>
          <w:p w14:paraId="3EC1C9D9" w14:textId="77777777" w:rsidR="00284C18" w:rsidRPr="00F00714" w:rsidRDefault="00284C18" w:rsidP="00284C18">
            <w:pPr>
              <w:pStyle w:val="TableParagraph"/>
            </w:pPr>
            <w:r w:rsidRPr="00F00714">
              <w:t>North Cascades NP</w:t>
            </w:r>
          </w:p>
        </w:tc>
        <w:tc>
          <w:tcPr>
            <w:tcW w:w="350" w:type="pct"/>
            <w:vAlign w:val="center"/>
            <w:hideMark/>
          </w:tcPr>
          <w:p w14:paraId="2B69567C" w14:textId="77777777" w:rsidR="00284C18" w:rsidRPr="00F00714" w:rsidRDefault="00284C18" w:rsidP="00284C18">
            <w:pPr>
              <w:pStyle w:val="TableParagraph"/>
            </w:pPr>
            <w:r w:rsidRPr="00F00714">
              <w:t>723.0</w:t>
            </w:r>
          </w:p>
        </w:tc>
        <w:tc>
          <w:tcPr>
            <w:tcW w:w="302" w:type="pct"/>
            <w:vAlign w:val="center"/>
            <w:hideMark/>
          </w:tcPr>
          <w:p w14:paraId="0327A5EC" w14:textId="77777777" w:rsidR="00284C18" w:rsidRPr="00F00714" w:rsidRDefault="00284C18" w:rsidP="00284C18">
            <w:pPr>
              <w:pStyle w:val="TableParagraph"/>
            </w:pPr>
            <w:r w:rsidRPr="00F00714">
              <w:t>58.0</w:t>
            </w:r>
          </w:p>
        </w:tc>
        <w:tc>
          <w:tcPr>
            <w:tcW w:w="350" w:type="pct"/>
            <w:vAlign w:val="center"/>
            <w:hideMark/>
          </w:tcPr>
          <w:p w14:paraId="2314FE2B" w14:textId="77777777" w:rsidR="00284C18" w:rsidRPr="00F00714" w:rsidRDefault="00284C18" w:rsidP="00284C18">
            <w:pPr>
              <w:pStyle w:val="TableParagraph"/>
            </w:pPr>
            <w:r w:rsidRPr="00F00714">
              <w:t>49.0</w:t>
            </w:r>
          </w:p>
        </w:tc>
        <w:tc>
          <w:tcPr>
            <w:tcW w:w="334" w:type="pct"/>
            <w:vAlign w:val="center"/>
            <w:hideMark/>
          </w:tcPr>
          <w:p w14:paraId="77676A46" w14:textId="77777777" w:rsidR="00284C18" w:rsidRPr="00F00714" w:rsidRDefault="00284C18" w:rsidP="00284C18">
            <w:pPr>
              <w:pStyle w:val="TableParagraph"/>
            </w:pPr>
            <w:r w:rsidRPr="00F00714">
              <w:t>4.6</w:t>
            </w:r>
          </w:p>
        </w:tc>
        <w:tc>
          <w:tcPr>
            <w:tcW w:w="634" w:type="pct"/>
            <w:vAlign w:val="center"/>
            <w:hideMark/>
          </w:tcPr>
          <w:p w14:paraId="5564E82E" w14:textId="77777777" w:rsidR="00284C18" w:rsidRPr="00F00714" w:rsidRDefault="00284C18" w:rsidP="00284C18">
            <w:pPr>
              <w:pStyle w:val="TableParagraph"/>
            </w:pPr>
            <w:r w:rsidRPr="00F00714">
              <w:t>Petroleum Refineries</w:t>
            </w:r>
          </w:p>
        </w:tc>
        <w:tc>
          <w:tcPr>
            <w:tcW w:w="437" w:type="pct"/>
            <w:vAlign w:val="center"/>
            <w:hideMark/>
          </w:tcPr>
          <w:p w14:paraId="1B2C0428" w14:textId="77777777" w:rsidR="00284C18" w:rsidRPr="00F00714" w:rsidRDefault="00284C18" w:rsidP="00284C18">
            <w:pPr>
              <w:pStyle w:val="TableParagraph"/>
            </w:pPr>
            <w:r w:rsidRPr="00F00714">
              <w:t>NWCAA</w:t>
            </w:r>
          </w:p>
        </w:tc>
      </w:tr>
      <w:tr w:rsidR="00284C18" w:rsidRPr="00F00714" w14:paraId="43169B6F" w14:textId="77777777" w:rsidTr="00284C18">
        <w:trPr>
          <w:cantSplit/>
          <w:trHeight w:val="1296"/>
        </w:trPr>
        <w:tc>
          <w:tcPr>
            <w:tcW w:w="670" w:type="pct"/>
            <w:vAlign w:val="center"/>
            <w:hideMark/>
          </w:tcPr>
          <w:p w14:paraId="07A18E15" w14:textId="77777777" w:rsidR="00284C18" w:rsidRPr="00F00714" w:rsidRDefault="00284C18" w:rsidP="00284C18">
            <w:pPr>
              <w:pStyle w:val="TableParagraph"/>
            </w:pPr>
            <w:r w:rsidRPr="00F00714">
              <w:t>Cardinal FG Winlock</w:t>
            </w:r>
          </w:p>
        </w:tc>
        <w:tc>
          <w:tcPr>
            <w:tcW w:w="321" w:type="pct"/>
            <w:vAlign w:val="center"/>
            <w:hideMark/>
          </w:tcPr>
          <w:p w14:paraId="5BD47DDE" w14:textId="77777777" w:rsidR="00284C18" w:rsidRPr="00F00714" w:rsidRDefault="00284C18" w:rsidP="00284C18">
            <w:pPr>
              <w:pStyle w:val="TableParagraph"/>
            </w:pPr>
            <w:r w:rsidRPr="00F00714">
              <w:t>major</w:t>
            </w:r>
          </w:p>
        </w:tc>
        <w:tc>
          <w:tcPr>
            <w:tcW w:w="393" w:type="pct"/>
            <w:vAlign w:val="center"/>
          </w:tcPr>
          <w:p w14:paraId="4F31871C" w14:textId="6262968C" w:rsidR="00284C18" w:rsidRPr="00F00714" w:rsidRDefault="00284C18" w:rsidP="00284C18">
            <w:pPr>
              <w:pStyle w:val="TableParagraph"/>
            </w:pPr>
            <w:r w:rsidRPr="00F00714">
              <w:t>859.8</w:t>
            </w:r>
          </w:p>
        </w:tc>
        <w:tc>
          <w:tcPr>
            <w:tcW w:w="393" w:type="pct"/>
            <w:vAlign w:val="center"/>
            <w:hideMark/>
          </w:tcPr>
          <w:p w14:paraId="01ED8E00" w14:textId="5F4AAF3C" w:rsidR="00284C18" w:rsidRPr="00F00714" w:rsidRDefault="00284C18" w:rsidP="00284C18">
            <w:pPr>
              <w:pStyle w:val="TableParagraph"/>
            </w:pPr>
            <w:r w:rsidRPr="00F00714">
              <w:t>80.1</w:t>
            </w:r>
          </w:p>
        </w:tc>
        <w:tc>
          <w:tcPr>
            <w:tcW w:w="302" w:type="pct"/>
            <w:vAlign w:val="center"/>
            <w:hideMark/>
          </w:tcPr>
          <w:p w14:paraId="29C25252" w14:textId="77777777" w:rsidR="00284C18" w:rsidRPr="00F00714" w:rsidRDefault="00284C18" w:rsidP="00284C18">
            <w:pPr>
              <w:pStyle w:val="TableParagraph"/>
            </w:pPr>
            <w:r w:rsidRPr="00F00714">
              <w:t>10.7</w:t>
            </w:r>
          </w:p>
        </w:tc>
        <w:tc>
          <w:tcPr>
            <w:tcW w:w="514" w:type="pct"/>
            <w:vAlign w:val="center"/>
            <w:hideMark/>
          </w:tcPr>
          <w:p w14:paraId="1EDCEFF4" w14:textId="77777777" w:rsidR="00284C18" w:rsidRPr="00F00714" w:rsidRDefault="00284C18" w:rsidP="00284C18">
            <w:pPr>
              <w:pStyle w:val="TableParagraph"/>
            </w:pPr>
            <w:r w:rsidRPr="00F00714">
              <w:t>Mount Rainier NP</w:t>
            </w:r>
          </w:p>
        </w:tc>
        <w:tc>
          <w:tcPr>
            <w:tcW w:w="350" w:type="pct"/>
            <w:vAlign w:val="center"/>
            <w:hideMark/>
          </w:tcPr>
          <w:p w14:paraId="1CEE2727" w14:textId="77777777" w:rsidR="00284C18" w:rsidRPr="00F00714" w:rsidRDefault="00284C18" w:rsidP="00284C18">
            <w:pPr>
              <w:pStyle w:val="TableParagraph"/>
            </w:pPr>
            <w:r w:rsidRPr="00F00714">
              <w:t>791.5</w:t>
            </w:r>
          </w:p>
        </w:tc>
        <w:tc>
          <w:tcPr>
            <w:tcW w:w="302" w:type="pct"/>
            <w:vAlign w:val="center"/>
            <w:hideMark/>
          </w:tcPr>
          <w:p w14:paraId="7760CFE4" w14:textId="77777777" w:rsidR="00284C18" w:rsidRPr="00F00714" w:rsidRDefault="00284C18" w:rsidP="00284C18">
            <w:pPr>
              <w:pStyle w:val="TableParagraph"/>
            </w:pPr>
            <w:r w:rsidRPr="00F00714">
              <w:t>9.2</w:t>
            </w:r>
          </w:p>
        </w:tc>
        <w:tc>
          <w:tcPr>
            <w:tcW w:w="350" w:type="pct"/>
            <w:vAlign w:val="center"/>
            <w:hideMark/>
          </w:tcPr>
          <w:p w14:paraId="58145E07" w14:textId="77777777" w:rsidR="00284C18" w:rsidRPr="00F00714" w:rsidRDefault="00284C18" w:rsidP="00284C18">
            <w:pPr>
              <w:pStyle w:val="TableParagraph"/>
            </w:pPr>
            <w:r w:rsidRPr="00F00714">
              <w:t>56.7</w:t>
            </w:r>
          </w:p>
        </w:tc>
        <w:tc>
          <w:tcPr>
            <w:tcW w:w="334" w:type="pct"/>
            <w:vAlign w:val="center"/>
            <w:hideMark/>
          </w:tcPr>
          <w:p w14:paraId="20682AA8" w14:textId="77777777" w:rsidR="00284C18" w:rsidRPr="00F00714" w:rsidRDefault="00284C18" w:rsidP="00284C18">
            <w:pPr>
              <w:pStyle w:val="TableParagraph"/>
            </w:pPr>
          </w:p>
        </w:tc>
        <w:tc>
          <w:tcPr>
            <w:tcW w:w="634" w:type="pct"/>
            <w:vAlign w:val="center"/>
            <w:hideMark/>
          </w:tcPr>
          <w:p w14:paraId="57392906" w14:textId="77777777" w:rsidR="00284C18" w:rsidRPr="00F00714" w:rsidRDefault="00284C18" w:rsidP="00284C18">
            <w:pPr>
              <w:pStyle w:val="TableParagraph"/>
            </w:pPr>
            <w:r w:rsidRPr="00F00714">
              <w:t>Flat Glass Manufacture</w:t>
            </w:r>
          </w:p>
        </w:tc>
        <w:tc>
          <w:tcPr>
            <w:tcW w:w="437" w:type="pct"/>
            <w:vAlign w:val="center"/>
            <w:hideMark/>
          </w:tcPr>
          <w:p w14:paraId="46E7BBA6" w14:textId="77777777" w:rsidR="00284C18" w:rsidRPr="00F00714" w:rsidRDefault="00284C18" w:rsidP="00284C18">
            <w:pPr>
              <w:pStyle w:val="TableParagraph"/>
            </w:pPr>
            <w:r w:rsidRPr="00F00714">
              <w:t>SWCAA</w:t>
            </w:r>
          </w:p>
        </w:tc>
      </w:tr>
      <w:tr w:rsidR="00284C18" w:rsidRPr="00F00714" w14:paraId="74A39A7C" w14:textId="77777777" w:rsidTr="00284C18">
        <w:trPr>
          <w:cantSplit/>
          <w:trHeight w:val="1296"/>
        </w:trPr>
        <w:tc>
          <w:tcPr>
            <w:tcW w:w="670" w:type="pct"/>
            <w:vAlign w:val="center"/>
            <w:hideMark/>
          </w:tcPr>
          <w:p w14:paraId="5555B9C7" w14:textId="77777777" w:rsidR="00284C18" w:rsidRPr="00F00714" w:rsidRDefault="00284C18" w:rsidP="00284C18">
            <w:pPr>
              <w:pStyle w:val="TableParagraph"/>
            </w:pPr>
            <w:r w:rsidRPr="00F00714">
              <w:t>Boise Paper</w:t>
            </w:r>
          </w:p>
        </w:tc>
        <w:tc>
          <w:tcPr>
            <w:tcW w:w="321" w:type="pct"/>
            <w:vAlign w:val="center"/>
            <w:hideMark/>
          </w:tcPr>
          <w:p w14:paraId="54C4F9EF" w14:textId="77777777" w:rsidR="00284C18" w:rsidRPr="00F00714" w:rsidRDefault="00284C18" w:rsidP="00284C18">
            <w:pPr>
              <w:pStyle w:val="TableParagraph"/>
            </w:pPr>
            <w:r w:rsidRPr="00F00714">
              <w:t>major</w:t>
            </w:r>
          </w:p>
        </w:tc>
        <w:tc>
          <w:tcPr>
            <w:tcW w:w="393" w:type="pct"/>
            <w:vAlign w:val="center"/>
          </w:tcPr>
          <w:p w14:paraId="6E33A2FD" w14:textId="7B3666C7" w:rsidR="00284C18" w:rsidRPr="00F00714" w:rsidRDefault="00284C18" w:rsidP="00284C18">
            <w:pPr>
              <w:pStyle w:val="TableParagraph"/>
            </w:pPr>
            <w:r w:rsidRPr="00F00714">
              <w:t>1048.3</w:t>
            </w:r>
          </w:p>
        </w:tc>
        <w:tc>
          <w:tcPr>
            <w:tcW w:w="393" w:type="pct"/>
            <w:vAlign w:val="center"/>
            <w:hideMark/>
          </w:tcPr>
          <w:p w14:paraId="23B51C38" w14:textId="6B13B5D5" w:rsidR="00284C18" w:rsidRPr="00F00714" w:rsidRDefault="00284C18" w:rsidP="00284C18">
            <w:pPr>
              <w:pStyle w:val="TableParagraph"/>
            </w:pPr>
            <w:r w:rsidRPr="00F00714">
              <w:t>111.5</w:t>
            </w:r>
          </w:p>
        </w:tc>
        <w:tc>
          <w:tcPr>
            <w:tcW w:w="302" w:type="pct"/>
            <w:vAlign w:val="center"/>
            <w:hideMark/>
          </w:tcPr>
          <w:p w14:paraId="3899E461" w14:textId="77777777" w:rsidR="00284C18" w:rsidRPr="00F00714" w:rsidRDefault="00284C18" w:rsidP="00284C18">
            <w:pPr>
              <w:pStyle w:val="TableParagraph"/>
            </w:pPr>
            <w:r w:rsidRPr="00F00714">
              <w:t>9.4</w:t>
            </w:r>
          </w:p>
        </w:tc>
        <w:tc>
          <w:tcPr>
            <w:tcW w:w="514" w:type="pct"/>
            <w:vAlign w:val="center"/>
            <w:hideMark/>
          </w:tcPr>
          <w:p w14:paraId="02DB40AC" w14:textId="77777777" w:rsidR="00284C18" w:rsidRPr="00F00714" w:rsidRDefault="00284C18" w:rsidP="00284C18">
            <w:pPr>
              <w:pStyle w:val="TableParagraph"/>
            </w:pPr>
            <w:r w:rsidRPr="00F00714">
              <w:t>Eagle Cap Wilderness</w:t>
            </w:r>
          </w:p>
        </w:tc>
        <w:tc>
          <w:tcPr>
            <w:tcW w:w="350" w:type="pct"/>
            <w:vAlign w:val="center"/>
            <w:hideMark/>
          </w:tcPr>
          <w:p w14:paraId="304CBB63" w14:textId="77777777" w:rsidR="00284C18" w:rsidRPr="00F00714" w:rsidRDefault="00284C18" w:rsidP="00284C18">
            <w:pPr>
              <w:pStyle w:val="TableParagraph"/>
            </w:pPr>
            <w:r w:rsidRPr="00F00714">
              <w:t>742.1</w:t>
            </w:r>
          </w:p>
        </w:tc>
        <w:tc>
          <w:tcPr>
            <w:tcW w:w="302" w:type="pct"/>
            <w:vAlign w:val="center"/>
            <w:hideMark/>
          </w:tcPr>
          <w:p w14:paraId="0ABD8196" w14:textId="77777777" w:rsidR="00284C18" w:rsidRPr="00F00714" w:rsidRDefault="00284C18" w:rsidP="00284C18">
            <w:pPr>
              <w:pStyle w:val="TableParagraph"/>
            </w:pPr>
            <w:r w:rsidRPr="00F00714">
              <w:t>114.2</w:t>
            </w:r>
          </w:p>
        </w:tc>
        <w:tc>
          <w:tcPr>
            <w:tcW w:w="350" w:type="pct"/>
            <w:vAlign w:val="center"/>
            <w:hideMark/>
          </w:tcPr>
          <w:p w14:paraId="23211FF3" w14:textId="77777777" w:rsidR="00284C18" w:rsidRPr="00F00714" w:rsidRDefault="00284C18" w:rsidP="00284C18">
            <w:pPr>
              <w:pStyle w:val="TableParagraph"/>
            </w:pPr>
            <w:r w:rsidRPr="00F00714">
              <w:t>186.4</w:t>
            </w:r>
          </w:p>
        </w:tc>
        <w:tc>
          <w:tcPr>
            <w:tcW w:w="334" w:type="pct"/>
            <w:vAlign w:val="center"/>
            <w:hideMark/>
          </w:tcPr>
          <w:p w14:paraId="48D3798E" w14:textId="77777777" w:rsidR="00284C18" w:rsidRPr="00F00714" w:rsidRDefault="00284C18" w:rsidP="00284C18">
            <w:pPr>
              <w:pStyle w:val="TableParagraph"/>
            </w:pPr>
          </w:p>
        </w:tc>
        <w:tc>
          <w:tcPr>
            <w:tcW w:w="634" w:type="pct"/>
            <w:vAlign w:val="center"/>
            <w:hideMark/>
          </w:tcPr>
          <w:p w14:paraId="73EB12FA" w14:textId="77777777" w:rsidR="00284C18" w:rsidRPr="00F00714" w:rsidRDefault="00284C18" w:rsidP="00284C18">
            <w:pPr>
              <w:pStyle w:val="TableParagraph"/>
            </w:pPr>
            <w:r w:rsidRPr="00F00714">
              <w:t>Paperboard Mills</w:t>
            </w:r>
          </w:p>
        </w:tc>
        <w:tc>
          <w:tcPr>
            <w:tcW w:w="437" w:type="pct"/>
            <w:vAlign w:val="center"/>
            <w:hideMark/>
          </w:tcPr>
          <w:p w14:paraId="1C43EB39" w14:textId="77777777" w:rsidR="00284C18" w:rsidRPr="00F00714" w:rsidRDefault="00284C18" w:rsidP="00284C18">
            <w:pPr>
              <w:pStyle w:val="TableParagraph"/>
            </w:pPr>
            <w:r w:rsidRPr="00F00714">
              <w:t>Industrial</w:t>
            </w:r>
          </w:p>
        </w:tc>
      </w:tr>
      <w:tr w:rsidR="00284C18" w:rsidRPr="00F00714" w14:paraId="785384F0" w14:textId="77777777" w:rsidTr="00284C18">
        <w:trPr>
          <w:cantSplit/>
          <w:trHeight w:val="1296"/>
        </w:trPr>
        <w:tc>
          <w:tcPr>
            <w:tcW w:w="670" w:type="pct"/>
            <w:vAlign w:val="center"/>
            <w:hideMark/>
          </w:tcPr>
          <w:p w14:paraId="436A6A67" w14:textId="77777777" w:rsidR="00284C18" w:rsidRPr="002D61F7" w:rsidRDefault="00284C18" w:rsidP="00284C18">
            <w:pPr>
              <w:pStyle w:val="TableParagraph"/>
              <w:rPr>
                <w:b/>
              </w:rPr>
            </w:pPr>
            <w:r w:rsidRPr="002D61F7">
              <w:rPr>
                <w:b/>
              </w:rPr>
              <w:t>Port Angeles Hardwood LLC</w:t>
            </w:r>
          </w:p>
        </w:tc>
        <w:tc>
          <w:tcPr>
            <w:tcW w:w="321" w:type="pct"/>
            <w:vAlign w:val="center"/>
            <w:hideMark/>
          </w:tcPr>
          <w:p w14:paraId="6480C5DC" w14:textId="496CC783" w:rsidR="00284C18" w:rsidRPr="002D61F7" w:rsidRDefault="00284C18" w:rsidP="00284C18">
            <w:pPr>
              <w:pStyle w:val="TableParagraph"/>
              <w:rPr>
                <w:b/>
              </w:rPr>
            </w:pPr>
            <w:r>
              <w:rPr>
                <w:b/>
              </w:rPr>
              <w:t>n</w:t>
            </w:r>
            <w:r w:rsidRPr="002D61F7">
              <w:rPr>
                <w:b/>
              </w:rPr>
              <w:t>on</w:t>
            </w:r>
            <w:r>
              <w:rPr>
                <w:b/>
              </w:rPr>
              <w:t>-major</w:t>
            </w:r>
          </w:p>
        </w:tc>
        <w:tc>
          <w:tcPr>
            <w:tcW w:w="393" w:type="pct"/>
            <w:vAlign w:val="center"/>
          </w:tcPr>
          <w:p w14:paraId="593B3234" w14:textId="7111CC0A" w:rsidR="00284C18" w:rsidRPr="002D61F7" w:rsidRDefault="00284C18" w:rsidP="00284C18">
            <w:pPr>
              <w:pStyle w:val="TableParagraph"/>
              <w:rPr>
                <w:b/>
              </w:rPr>
            </w:pPr>
            <w:r w:rsidRPr="002D61F7">
              <w:rPr>
                <w:b/>
              </w:rPr>
              <w:t>33.6</w:t>
            </w:r>
          </w:p>
        </w:tc>
        <w:tc>
          <w:tcPr>
            <w:tcW w:w="393" w:type="pct"/>
            <w:vAlign w:val="center"/>
            <w:hideMark/>
          </w:tcPr>
          <w:p w14:paraId="3B337DF6" w14:textId="5EF43251" w:rsidR="00284C18" w:rsidRPr="002D61F7" w:rsidRDefault="00284C18" w:rsidP="00284C18">
            <w:pPr>
              <w:pStyle w:val="TableParagraph"/>
              <w:rPr>
                <w:b/>
              </w:rPr>
            </w:pPr>
            <w:r w:rsidRPr="002D61F7">
              <w:rPr>
                <w:b/>
              </w:rPr>
              <w:t>3.8</w:t>
            </w:r>
          </w:p>
        </w:tc>
        <w:tc>
          <w:tcPr>
            <w:tcW w:w="302" w:type="pct"/>
            <w:vAlign w:val="center"/>
            <w:hideMark/>
          </w:tcPr>
          <w:p w14:paraId="1D6C354B" w14:textId="77777777" w:rsidR="00284C18" w:rsidRPr="002D61F7" w:rsidRDefault="00284C18" w:rsidP="00284C18">
            <w:pPr>
              <w:pStyle w:val="TableParagraph"/>
              <w:rPr>
                <w:b/>
              </w:rPr>
            </w:pPr>
            <w:r w:rsidRPr="002D61F7">
              <w:rPr>
                <w:b/>
              </w:rPr>
              <w:t>8.9</w:t>
            </w:r>
          </w:p>
        </w:tc>
        <w:tc>
          <w:tcPr>
            <w:tcW w:w="514" w:type="pct"/>
            <w:vAlign w:val="center"/>
            <w:hideMark/>
          </w:tcPr>
          <w:p w14:paraId="5B453B03" w14:textId="77777777" w:rsidR="00284C18" w:rsidRPr="002D61F7" w:rsidRDefault="00284C18" w:rsidP="00284C18">
            <w:pPr>
              <w:pStyle w:val="TableParagraph"/>
              <w:rPr>
                <w:b/>
              </w:rPr>
            </w:pPr>
            <w:r w:rsidRPr="002D61F7">
              <w:rPr>
                <w:b/>
              </w:rPr>
              <w:t>Olympic NP</w:t>
            </w:r>
          </w:p>
        </w:tc>
        <w:tc>
          <w:tcPr>
            <w:tcW w:w="350" w:type="pct"/>
            <w:vAlign w:val="center"/>
            <w:hideMark/>
          </w:tcPr>
          <w:p w14:paraId="09F5C7D9" w14:textId="77777777" w:rsidR="00284C18" w:rsidRPr="002D61F7" w:rsidRDefault="00284C18" w:rsidP="00284C18">
            <w:pPr>
              <w:pStyle w:val="TableParagraph"/>
              <w:rPr>
                <w:b/>
              </w:rPr>
            </w:pPr>
            <w:r w:rsidRPr="002D61F7">
              <w:rPr>
                <w:b/>
              </w:rPr>
              <w:t>20.8</w:t>
            </w:r>
          </w:p>
        </w:tc>
        <w:tc>
          <w:tcPr>
            <w:tcW w:w="302" w:type="pct"/>
            <w:vAlign w:val="center"/>
            <w:hideMark/>
          </w:tcPr>
          <w:p w14:paraId="35007692" w14:textId="77777777" w:rsidR="00284C18" w:rsidRPr="002D61F7" w:rsidRDefault="00284C18" w:rsidP="00284C18">
            <w:pPr>
              <w:pStyle w:val="TableParagraph"/>
              <w:rPr>
                <w:b/>
              </w:rPr>
            </w:pPr>
            <w:r w:rsidRPr="002D61F7">
              <w:rPr>
                <w:b/>
              </w:rPr>
              <w:t>6.7</w:t>
            </w:r>
          </w:p>
        </w:tc>
        <w:tc>
          <w:tcPr>
            <w:tcW w:w="350" w:type="pct"/>
            <w:vAlign w:val="center"/>
            <w:hideMark/>
          </w:tcPr>
          <w:p w14:paraId="6DD1955B" w14:textId="77777777" w:rsidR="00284C18" w:rsidRPr="002D61F7" w:rsidRDefault="00284C18" w:rsidP="00284C18">
            <w:pPr>
              <w:pStyle w:val="TableParagraph"/>
              <w:rPr>
                <w:b/>
              </w:rPr>
            </w:pPr>
            <w:r w:rsidRPr="002D61F7">
              <w:rPr>
                <w:b/>
              </w:rPr>
              <w:t>3.3</w:t>
            </w:r>
          </w:p>
        </w:tc>
        <w:tc>
          <w:tcPr>
            <w:tcW w:w="334" w:type="pct"/>
            <w:vAlign w:val="center"/>
            <w:hideMark/>
          </w:tcPr>
          <w:p w14:paraId="1C5BA77E" w14:textId="77777777" w:rsidR="00284C18" w:rsidRPr="002D61F7" w:rsidRDefault="00284C18" w:rsidP="00284C18">
            <w:pPr>
              <w:pStyle w:val="TableParagraph"/>
              <w:rPr>
                <w:b/>
              </w:rPr>
            </w:pPr>
          </w:p>
        </w:tc>
        <w:tc>
          <w:tcPr>
            <w:tcW w:w="634" w:type="pct"/>
            <w:vAlign w:val="center"/>
            <w:hideMark/>
          </w:tcPr>
          <w:p w14:paraId="033541C0" w14:textId="77777777" w:rsidR="00284C18" w:rsidRPr="002D61F7" w:rsidRDefault="00284C18" w:rsidP="00284C18">
            <w:pPr>
              <w:pStyle w:val="TableParagraph"/>
              <w:rPr>
                <w:b/>
              </w:rPr>
            </w:pPr>
            <w:r w:rsidRPr="002D61F7">
              <w:rPr>
                <w:b/>
              </w:rPr>
              <w:t>Wood Products</w:t>
            </w:r>
          </w:p>
        </w:tc>
        <w:tc>
          <w:tcPr>
            <w:tcW w:w="437" w:type="pct"/>
            <w:vAlign w:val="center"/>
            <w:hideMark/>
          </w:tcPr>
          <w:p w14:paraId="2D282656" w14:textId="77777777" w:rsidR="00284C18" w:rsidRPr="002D61F7" w:rsidRDefault="00284C18" w:rsidP="00284C18">
            <w:pPr>
              <w:pStyle w:val="TableParagraph"/>
              <w:rPr>
                <w:b/>
              </w:rPr>
            </w:pPr>
            <w:r w:rsidRPr="002D61F7">
              <w:rPr>
                <w:b/>
              </w:rPr>
              <w:t>ORCAA</w:t>
            </w:r>
          </w:p>
        </w:tc>
      </w:tr>
      <w:tr w:rsidR="00284C18" w:rsidRPr="00F00714" w14:paraId="4A246D34" w14:textId="77777777" w:rsidTr="00284C18">
        <w:trPr>
          <w:cantSplit/>
          <w:trHeight w:val="1296"/>
        </w:trPr>
        <w:tc>
          <w:tcPr>
            <w:tcW w:w="670" w:type="pct"/>
            <w:vAlign w:val="center"/>
            <w:hideMark/>
          </w:tcPr>
          <w:p w14:paraId="371FD7E9" w14:textId="77777777" w:rsidR="00284C18" w:rsidRPr="00F00714" w:rsidRDefault="00284C18" w:rsidP="00284C18">
            <w:pPr>
              <w:pStyle w:val="TableParagraph"/>
            </w:pPr>
            <w:r w:rsidRPr="00F00714">
              <w:t>Ardagh Glass Inc</w:t>
            </w:r>
          </w:p>
        </w:tc>
        <w:tc>
          <w:tcPr>
            <w:tcW w:w="321" w:type="pct"/>
            <w:vAlign w:val="center"/>
            <w:hideMark/>
          </w:tcPr>
          <w:p w14:paraId="5BAACEB3" w14:textId="77777777" w:rsidR="00284C18" w:rsidRPr="00F00714" w:rsidRDefault="00284C18" w:rsidP="00284C18">
            <w:pPr>
              <w:pStyle w:val="TableParagraph"/>
            </w:pPr>
            <w:r w:rsidRPr="00F00714">
              <w:t>major</w:t>
            </w:r>
          </w:p>
        </w:tc>
        <w:tc>
          <w:tcPr>
            <w:tcW w:w="393" w:type="pct"/>
            <w:vAlign w:val="center"/>
          </w:tcPr>
          <w:p w14:paraId="78A68D15" w14:textId="52CD7D43" w:rsidR="00284C18" w:rsidRPr="00F00714" w:rsidRDefault="00284C18" w:rsidP="00284C18">
            <w:pPr>
              <w:pStyle w:val="TableParagraph"/>
            </w:pPr>
            <w:r w:rsidRPr="00F00714">
              <w:t>358.4</w:t>
            </w:r>
          </w:p>
        </w:tc>
        <w:tc>
          <w:tcPr>
            <w:tcW w:w="393" w:type="pct"/>
            <w:vAlign w:val="center"/>
            <w:hideMark/>
          </w:tcPr>
          <w:p w14:paraId="42C886B0" w14:textId="3993DD88" w:rsidR="00284C18" w:rsidRPr="00F00714" w:rsidRDefault="00284C18" w:rsidP="00284C18">
            <w:pPr>
              <w:pStyle w:val="TableParagraph"/>
            </w:pPr>
            <w:r w:rsidRPr="00F00714">
              <w:t>53.5</w:t>
            </w:r>
          </w:p>
        </w:tc>
        <w:tc>
          <w:tcPr>
            <w:tcW w:w="302" w:type="pct"/>
            <w:vAlign w:val="center"/>
            <w:hideMark/>
          </w:tcPr>
          <w:p w14:paraId="3F8A4B9A" w14:textId="77777777" w:rsidR="00284C18" w:rsidRPr="00F00714" w:rsidRDefault="00284C18" w:rsidP="00284C18">
            <w:pPr>
              <w:pStyle w:val="TableParagraph"/>
            </w:pPr>
            <w:r w:rsidRPr="00F00714">
              <w:t>6.7</w:t>
            </w:r>
          </w:p>
        </w:tc>
        <w:tc>
          <w:tcPr>
            <w:tcW w:w="514" w:type="pct"/>
            <w:vAlign w:val="center"/>
            <w:hideMark/>
          </w:tcPr>
          <w:p w14:paraId="37833447" w14:textId="77777777" w:rsidR="00284C18" w:rsidRPr="00F00714" w:rsidRDefault="00284C18" w:rsidP="00284C18">
            <w:pPr>
              <w:pStyle w:val="TableParagraph"/>
            </w:pPr>
            <w:r w:rsidRPr="00F00714">
              <w:t>Alpine Lakes Wilderness</w:t>
            </w:r>
          </w:p>
        </w:tc>
        <w:tc>
          <w:tcPr>
            <w:tcW w:w="350" w:type="pct"/>
            <w:vAlign w:val="center"/>
            <w:hideMark/>
          </w:tcPr>
          <w:p w14:paraId="3F795FC2" w14:textId="77777777" w:rsidR="00284C18" w:rsidRPr="00F00714" w:rsidRDefault="00284C18" w:rsidP="00284C18">
            <w:pPr>
              <w:pStyle w:val="TableParagraph"/>
            </w:pPr>
            <w:r w:rsidRPr="00F00714">
              <w:t>172.1</w:t>
            </w:r>
          </w:p>
        </w:tc>
        <w:tc>
          <w:tcPr>
            <w:tcW w:w="302" w:type="pct"/>
            <w:vAlign w:val="center"/>
            <w:hideMark/>
          </w:tcPr>
          <w:p w14:paraId="2E5B78C2" w14:textId="77777777" w:rsidR="00284C18" w:rsidRPr="00F00714" w:rsidRDefault="00284C18" w:rsidP="00284C18">
            <w:pPr>
              <w:pStyle w:val="TableParagraph"/>
            </w:pPr>
            <w:r w:rsidRPr="00F00714">
              <w:t>70.3</w:t>
            </w:r>
          </w:p>
        </w:tc>
        <w:tc>
          <w:tcPr>
            <w:tcW w:w="350" w:type="pct"/>
            <w:vAlign w:val="center"/>
            <w:hideMark/>
          </w:tcPr>
          <w:p w14:paraId="063477CE" w14:textId="77777777" w:rsidR="00284C18" w:rsidRPr="00F00714" w:rsidRDefault="00284C18" w:rsidP="00284C18">
            <w:pPr>
              <w:pStyle w:val="TableParagraph"/>
            </w:pPr>
            <w:r w:rsidRPr="00F00714">
              <w:t>105.9</w:t>
            </w:r>
          </w:p>
        </w:tc>
        <w:tc>
          <w:tcPr>
            <w:tcW w:w="334" w:type="pct"/>
            <w:vAlign w:val="center"/>
            <w:hideMark/>
          </w:tcPr>
          <w:p w14:paraId="25E4DEB2" w14:textId="77777777" w:rsidR="00284C18" w:rsidRPr="00F00714" w:rsidRDefault="00284C18" w:rsidP="00284C18">
            <w:pPr>
              <w:pStyle w:val="TableParagraph"/>
            </w:pPr>
            <w:r w:rsidRPr="00F00714">
              <w:t>7.1</w:t>
            </w:r>
          </w:p>
        </w:tc>
        <w:tc>
          <w:tcPr>
            <w:tcW w:w="634" w:type="pct"/>
            <w:vAlign w:val="center"/>
            <w:hideMark/>
          </w:tcPr>
          <w:p w14:paraId="584029BB" w14:textId="77777777" w:rsidR="00284C18" w:rsidRPr="00F00714" w:rsidRDefault="00284C18" w:rsidP="00284C18">
            <w:pPr>
              <w:pStyle w:val="TableParagraph"/>
            </w:pPr>
            <w:r w:rsidRPr="00F00714">
              <w:t>Bottle Glass Manufacture</w:t>
            </w:r>
          </w:p>
        </w:tc>
        <w:tc>
          <w:tcPr>
            <w:tcW w:w="437" w:type="pct"/>
            <w:vAlign w:val="center"/>
            <w:hideMark/>
          </w:tcPr>
          <w:p w14:paraId="308DC752" w14:textId="77777777" w:rsidR="00284C18" w:rsidRPr="00F00714" w:rsidRDefault="00284C18" w:rsidP="00284C18">
            <w:pPr>
              <w:pStyle w:val="TableParagraph"/>
            </w:pPr>
            <w:r w:rsidRPr="00F00714">
              <w:t>PSCAA</w:t>
            </w:r>
          </w:p>
        </w:tc>
      </w:tr>
      <w:tr w:rsidR="00284C18" w:rsidRPr="00F00714" w14:paraId="5B92C26A" w14:textId="77777777" w:rsidTr="00284C18">
        <w:trPr>
          <w:cantSplit/>
          <w:trHeight w:val="1296"/>
        </w:trPr>
        <w:tc>
          <w:tcPr>
            <w:tcW w:w="670" w:type="pct"/>
            <w:vAlign w:val="center"/>
            <w:hideMark/>
          </w:tcPr>
          <w:p w14:paraId="727E4A9D" w14:textId="77777777" w:rsidR="00284C18" w:rsidRPr="00F00714" w:rsidRDefault="00284C18" w:rsidP="00284C18">
            <w:pPr>
              <w:pStyle w:val="TableParagraph"/>
            </w:pPr>
            <w:r w:rsidRPr="00F00714">
              <w:lastRenderedPageBreak/>
              <w:t>US Oil &amp; Refining Co</w:t>
            </w:r>
          </w:p>
        </w:tc>
        <w:tc>
          <w:tcPr>
            <w:tcW w:w="321" w:type="pct"/>
            <w:vAlign w:val="center"/>
            <w:hideMark/>
          </w:tcPr>
          <w:p w14:paraId="72016A5C" w14:textId="77777777" w:rsidR="00284C18" w:rsidRPr="00F00714" w:rsidRDefault="00284C18" w:rsidP="00284C18">
            <w:pPr>
              <w:pStyle w:val="TableParagraph"/>
            </w:pPr>
            <w:r w:rsidRPr="00F00714">
              <w:t>major</w:t>
            </w:r>
          </w:p>
        </w:tc>
        <w:tc>
          <w:tcPr>
            <w:tcW w:w="393" w:type="pct"/>
            <w:vAlign w:val="center"/>
          </w:tcPr>
          <w:p w14:paraId="3CFEE4AC" w14:textId="304B6741" w:rsidR="00284C18" w:rsidRPr="00F00714" w:rsidRDefault="00284C18" w:rsidP="00284C18">
            <w:pPr>
              <w:pStyle w:val="TableParagraph"/>
            </w:pPr>
            <w:r w:rsidRPr="00F00714">
              <w:t>149.2</w:t>
            </w:r>
          </w:p>
        </w:tc>
        <w:tc>
          <w:tcPr>
            <w:tcW w:w="393" w:type="pct"/>
            <w:vAlign w:val="center"/>
            <w:hideMark/>
          </w:tcPr>
          <w:p w14:paraId="3B5A390B" w14:textId="41D900C2" w:rsidR="00284C18" w:rsidRPr="00F00714" w:rsidRDefault="00284C18" w:rsidP="00284C18">
            <w:pPr>
              <w:pStyle w:val="TableParagraph"/>
            </w:pPr>
            <w:r w:rsidRPr="00F00714">
              <w:t>46.4</w:t>
            </w:r>
          </w:p>
        </w:tc>
        <w:tc>
          <w:tcPr>
            <w:tcW w:w="302" w:type="pct"/>
            <w:vAlign w:val="center"/>
            <w:hideMark/>
          </w:tcPr>
          <w:p w14:paraId="51BB587C" w14:textId="77777777" w:rsidR="00284C18" w:rsidRPr="00F00714" w:rsidRDefault="00284C18" w:rsidP="00284C18">
            <w:pPr>
              <w:pStyle w:val="TableParagraph"/>
            </w:pPr>
            <w:r w:rsidRPr="00F00714">
              <w:t>3.2</w:t>
            </w:r>
          </w:p>
        </w:tc>
        <w:tc>
          <w:tcPr>
            <w:tcW w:w="514" w:type="pct"/>
            <w:vAlign w:val="center"/>
            <w:hideMark/>
          </w:tcPr>
          <w:p w14:paraId="1B3E6D55" w14:textId="77777777" w:rsidR="00284C18" w:rsidRPr="00F00714" w:rsidRDefault="00284C18" w:rsidP="00284C18">
            <w:pPr>
              <w:pStyle w:val="TableParagraph"/>
            </w:pPr>
            <w:r w:rsidRPr="00F00714">
              <w:t>Mount Rainier NP</w:t>
            </w:r>
          </w:p>
        </w:tc>
        <w:tc>
          <w:tcPr>
            <w:tcW w:w="350" w:type="pct"/>
            <w:vAlign w:val="center"/>
            <w:hideMark/>
          </w:tcPr>
          <w:p w14:paraId="44F51904" w14:textId="77777777" w:rsidR="00284C18" w:rsidRPr="00F00714" w:rsidRDefault="00284C18" w:rsidP="00284C18">
            <w:pPr>
              <w:pStyle w:val="TableParagraph"/>
            </w:pPr>
            <w:r w:rsidRPr="00F00714">
              <w:t>132.9</w:t>
            </w:r>
          </w:p>
        </w:tc>
        <w:tc>
          <w:tcPr>
            <w:tcW w:w="302" w:type="pct"/>
            <w:vAlign w:val="center"/>
            <w:hideMark/>
          </w:tcPr>
          <w:p w14:paraId="09CD7EB4" w14:textId="77777777" w:rsidR="00284C18" w:rsidRPr="00F00714" w:rsidRDefault="00284C18" w:rsidP="00284C18">
            <w:pPr>
              <w:pStyle w:val="TableParagraph"/>
            </w:pPr>
          </w:p>
        </w:tc>
        <w:tc>
          <w:tcPr>
            <w:tcW w:w="350" w:type="pct"/>
            <w:vAlign w:val="center"/>
            <w:hideMark/>
          </w:tcPr>
          <w:p w14:paraId="2B828779" w14:textId="77777777" w:rsidR="00284C18" w:rsidRPr="00F00714" w:rsidRDefault="00284C18" w:rsidP="00284C18">
            <w:pPr>
              <w:pStyle w:val="TableParagraph"/>
            </w:pPr>
            <w:r w:rsidRPr="00F00714">
              <w:t>4.2</w:t>
            </w:r>
          </w:p>
        </w:tc>
        <w:tc>
          <w:tcPr>
            <w:tcW w:w="334" w:type="pct"/>
            <w:vAlign w:val="center"/>
            <w:hideMark/>
          </w:tcPr>
          <w:p w14:paraId="4993FCC1" w14:textId="77777777" w:rsidR="00284C18" w:rsidRPr="00F00714" w:rsidRDefault="00284C18" w:rsidP="00284C18">
            <w:pPr>
              <w:pStyle w:val="TableParagraph"/>
            </w:pPr>
          </w:p>
        </w:tc>
        <w:tc>
          <w:tcPr>
            <w:tcW w:w="634" w:type="pct"/>
            <w:vAlign w:val="center"/>
            <w:hideMark/>
          </w:tcPr>
          <w:p w14:paraId="4D54631C" w14:textId="77777777" w:rsidR="00284C18" w:rsidRPr="00F00714" w:rsidRDefault="00284C18" w:rsidP="00284C18">
            <w:pPr>
              <w:pStyle w:val="TableParagraph"/>
            </w:pPr>
            <w:r w:rsidRPr="00F00714">
              <w:t>Oil Refinery</w:t>
            </w:r>
          </w:p>
        </w:tc>
        <w:tc>
          <w:tcPr>
            <w:tcW w:w="437" w:type="pct"/>
            <w:vAlign w:val="center"/>
            <w:hideMark/>
          </w:tcPr>
          <w:p w14:paraId="396B11B3" w14:textId="77777777" w:rsidR="00284C18" w:rsidRPr="00F00714" w:rsidRDefault="00284C18" w:rsidP="00284C18">
            <w:pPr>
              <w:pStyle w:val="TableParagraph"/>
            </w:pPr>
            <w:r w:rsidRPr="00F00714">
              <w:t>PSCAA</w:t>
            </w:r>
          </w:p>
        </w:tc>
      </w:tr>
      <w:tr w:rsidR="00284C18" w:rsidRPr="00F00714" w14:paraId="146A55A7" w14:textId="77777777" w:rsidTr="00284C18">
        <w:trPr>
          <w:cantSplit/>
          <w:trHeight w:val="1296"/>
        </w:trPr>
        <w:tc>
          <w:tcPr>
            <w:tcW w:w="670" w:type="pct"/>
            <w:vAlign w:val="center"/>
            <w:hideMark/>
          </w:tcPr>
          <w:p w14:paraId="283933CD" w14:textId="77777777" w:rsidR="00284C18" w:rsidRPr="00F00714" w:rsidRDefault="00284C18" w:rsidP="00284C18">
            <w:pPr>
              <w:pStyle w:val="TableParagraph"/>
            </w:pPr>
            <w:r w:rsidRPr="00F00714">
              <w:t>Total</w:t>
            </w:r>
          </w:p>
        </w:tc>
        <w:tc>
          <w:tcPr>
            <w:tcW w:w="321" w:type="pct"/>
            <w:vAlign w:val="center"/>
            <w:hideMark/>
          </w:tcPr>
          <w:p w14:paraId="35850A67" w14:textId="77777777" w:rsidR="00284C18" w:rsidRPr="00F00714" w:rsidRDefault="00284C18" w:rsidP="00284C18">
            <w:pPr>
              <w:pStyle w:val="TableParagraph"/>
            </w:pPr>
          </w:p>
        </w:tc>
        <w:tc>
          <w:tcPr>
            <w:tcW w:w="393" w:type="pct"/>
            <w:vAlign w:val="center"/>
          </w:tcPr>
          <w:p w14:paraId="24120431" w14:textId="57C50260" w:rsidR="00284C18" w:rsidRPr="00F00714" w:rsidRDefault="00284C18" w:rsidP="00284C18">
            <w:pPr>
              <w:pStyle w:val="TableParagraph"/>
            </w:pPr>
            <w:r w:rsidRPr="00F00714">
              <w:t>39956.5</w:t>
            </w:r>
          </w:p>
        </w:tc>
        <w:tc>
          <w:tcPr>
            <w:tcW w:w="393" w:type="pct"/>
            <w:vAlign w:val="center"/>
            <w:hideMark/>
          </w:tcPr>
          <w:p w14:paraId="4BECDD78" w14:textId="72222C7F" w:rsidR="00284C18" w:rsidRPr="00F00714" w:rsidRDefault="00284C18" w:rsidP="00284C18">
            <w:pPr>
              <w:pStyle w:val="TableParagraph"/>
            </w:pPr>
          </w:p>
        </w:tc>
        <w:tc>
          <w:tcPr>
            <w:tcW w:w="302" w:type="pct"/>
            <w:vAlign w:val="center"/>
            <w:hideMark/>
          </w:tcPr>
          <w:p w14:paraId="6A2AE1CF" w14:textId="77777777" w:rsidR="00284C18" w:rsidRPr="00F00714" w:rsidRDefault="00284C18" w:rsidP="00284C18">
            <w:pPr>
              <w:pStyle w:val="TableParagraph"/>
            </w:pPr>
            <w:r w:rsidRPr="00F00714">
              <w:t>686.8</w:t>
            </w:r>
          </w:p>
        </w:tc>
        <w:tc>
          <w:tcPr>
            <w:tcW w:w="514" w:type="pct"/>
            <w:vAlign w:val="center"/>
            <w:hideMark/>
          </w:tcPr>
          <w:p w14:paraId="0A25BE95" w14:textId="77777777" w:rsidR="00284C18" w:rsidRPr="00F00714" w:rsidRDefault="00284C18" w:rsidP="00284C18">
            <w:pPr>
              <w:pStyle w:val="TableParagraph"/>
            </w:pPr>
          </w:p>
        </w:tc>
        <w:tc>
          <w:tcPr>
            <w:tcW w:w="350" w:type="pct"/>
            <w:vAlign w:val="center"/>
            <w:hideMark/>
          </w:tcPr>
          <w:p w14:paraId="650D21AF" w14:textId="77777777" w:rsidR="00284C18" w:rsidRPr="00F00714" w:rsidRDefault="00284C18" w:rsidP="00284C18">
            <w:pPr>
              <w:pStyle w:val="TableParagraph"/>
            </w:pPr>
          </w:p>
        </w:tc>
        <w:tc>
          <w:tcPr>
            <w:tcW w:w="302" w:type="pct"/>
            <w:vAlign w:val="center"/>
            <w:hideMark/>
          </w:tcPr>
          <w:p w14:paraId="43D22252" w14:textId="77777777" w:rsidR="00284C18" w:rsidRPr="00F00714" w:rsidRDefault="00284C18" w:rsidP="00284C18">
            <w:pPr>
              <w:pStyle w:val="TableParagraph"/>
            </w:pPr>
          </w:p>
        </w:tc>
        <w:tc>
          <w:tcPr>
            <w:tcW w:w="350" w:type="pct"/>
            <w:vAlign w:val="center"/>
            <w:hideMark/>
          </w:tcPr>
          <w:p w14:paraId="6F7B8545" w14:textId="77777777" w:rsidR="00284C18" w:rsidRPr="00F00714" w:rsidRDefault="00284C18" w:rsidP="00284C18">
            <w:pPr>
              <w:pStyle w:val="TableParagraph"/>
            </w:pPr>
          </w:p>
        </w:tc>
        <w:tc>
          <w:tcPr>
            <w:tcW w:w="334" w:type="pct"/>
            <w:vAlign w:val="center"/>
            <w:hideMark/>
          </w:tcPr>
          <w:p w14:paraId="70B48DF7" w14:textId="77777777" w:rsidR="00284C18" w:rsidRPr="00F00714" w:rsidRDefault="00284C18" w:rsidP="00284C18">
            <w:pPr>
              <w:pStyle w:val="TableParagraph"/>
            </w:pPr>
          </w:p>
        </w:tc>
        <w:tc>
          <w:tcPr>
            <w:tcW w:w="634" w:type="pct"/>
            <w:vAlign w:val="center"/>
            <w:hideMark/>
          </w:tcPr>
          <w:p w14:paraId="59B73E21" w14:textId="77777777" w:rsidR="00284C18" w:rsidRPr="00F00714" w:rsidRDefault="00284C18" w:rsidP="00284C18">
            <w:pPr>
              <w:pStyle w:val="TableParagraph"/>
            </w:pPr>
          </w:p>
        </w:tc>
        <w:tc>
          <w:tcPr>
            <w:tcW w:w="437" w:type="pct"/>
            <w:vAlign w:val="center"/>
            <w:hideMark/>
          </w:tcPr>
          <w:p w14:paraId="65D76C80" w14:textId="77777777" w:rsidR="00284C18" w:rsidRPr="00F00714" w:rsidRDefault="00284C18" w:rsidP="00284C18">
            <w:pPr>
              <w:pStyle w:val="TableParagraph"/>
              <w:keepNext/>
            </w:pPr>
          </w:p>
        </w:tc>
      </w:tr>
    </w:tbl>
    <w:p w14:paraId="495C125B" w14:textId="469A47F0" w:rsidR="00F00714" w:rsidRDefault="00F00714" w:rsidP="00F00714">
      <w:pPr>
        <w:pStyle w:val="Caption"/>
        <w:sectPr w:rsidR="00F00714" w:rsidSect="00FF4355">
          <w:pgSz w:w="15840" w:h="12240" w:orient="landscape"/>
          <w:pgMar w:top="1440" w:right="1440" w:bottom="1440" w:left="1440" w:header="720" w:footer="720" w:gutter="0"/>
          <w:cols w:space="720"/>
          <w:docGrid w:linePitch="360"/>
        </w:sectPr>
      </w:pPr>
    </w:p>
    <w:p w14:paraId="4B60BE0E" w14:textId="11F07F66" w:rsidR="00F00714" w:rsidRPr="00810C9B" w:rsidRDefault="00F00714" w:rsidP="00F00714">
      <w:pPr>
        <w:pStyle w:val="Caption"/>
        <w:keepNext/>
        <w:spacing w:after="0"/>
      </w:pPr>
      <w:bookmarkStart w:id="26" w:name="_Toc51675373"/>
      <w:r w:rsidRPr="00810C9B">
        <w:lastRenderedPageBreak/>
        <w:t xml:space="preserve">Table </w:t>
      </w:r>
      <w:fldSimple w:instr=" SEQ Table \* ARABIC ">
        <w:r w:rsidR="00396A5E" w:rsidRPr="00810C9B">
          <w:t>2</w:t>
        </w:r>
      </w:fldSimple>
      <w:r w:rsidR="00396A5E" w:rsidRPr="00810C9B">
        <w:t>:</w:t>
      </w:r>
      <w:r w:rsidR="009A61BD" w:rsidRPr="00810C9B">
        <w:t xml:space="preserve"> Q/d majors only</w:t>
      </w:r>
      <w:bookmarkEnd w:id="26"/>
    </w:p>
    <w:tbl>
      <w:tblPr>
        <w:tblW w:w="1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098"/>
        <w:gridCol w:w="1098"/>
        <w:gridCol w:w="810"/>
        <w:gridCol w:w="2790"/>
        <w:gridCol w:w="2700"/>
        <w:gridCol w:w="1260"/>
      </w:tblGrid>
      <w:tr w:rsidR="00284C18" w:rsidRPr="004478AF" w14:paraId="1CCA2343" w14:textId="77777777" w:rsidTr="00284C18">
        <w:trPr>
          <w:trHeight w:val="720"/>
          <w:tblHeader/>
        </w:trPr>
        <w:tc>
          <w:tcPr>
            <w:tcW w:w="3145" w:type="dxa"/>
            <w:noWrap/>
            <w:vAlign w:val="center"/>
            <w:hideMark/>
          </w:tcPr>
          <w:p w14:paraId="032AFCEE" w14:textId="77777777" w:rsidR="00284C18" w:rsidRPr="00F00714" w:rsidRDefault="00284C18" w:rsidP="00284C18">
            <w:pPr>
              <w:pStyle w:val="TableParagraph"/>
              <w:rPr>
                <w:b/>
              </w:rPr>
            </w:pPr>
            <w:r w:rsidRPr="00F00714">
              <w:rPr>
                <w:b/>
              </w:rPr>
              <w:t>Facility Site Name</w:t>
            </w:r>
          </w:p>
        </w:tc>
        <w:tc>
          <w:tcPr>
            <w:tcW w:w="1098" w:type="dxa"/>
            <w:vAlign w:val="center"/>
          </w:tcPr>
          <w:p w14:paraId="57FEE680" w14:textId="2A87DD76" w:rsidR="00284C18" w:rsidRPr="00F00714" w:rsidRDefault="00284C18" w:rsidP="00284C18">
            <w:pPr>
              <w:pStyle w:val="TableParagraph"/>
              <w:rPr>
                <w:b/>
              </w:rPr>
            </w:pPr>
            <w:r w:rsidRPr="00F00714">
              <w:rPr>
                <w:b/>
              </w:rPr>
              <w:t>Q (tons) of NO</w:t>
            </w:r>
            <w:r w:rsidRPr="00F00714">
              <w:rPr>
                <w:b/>
                <w:vertAlign w:val="subscript"/>
              </w:rPr>
              <w:t>X</w:t>
            </w:r>
            <w:r w:rsidRPr="00F00714">
              <w:rPr>
                <w:b/>
              </w:rPr>
              <w:t>, PM</w:t>
            </w:r>
            <w:r w:rsidRPr="00032636">
              <w:rPr>
                <w:b/>
                <w:vertAlign w:val="subscript"/>
              </w:rPr>
              <w:t>10</w:t>
            </w:r>
            <w:r w:rsidRPr="00F00714">
              <w:rPr>
                <w:b/>
              </w:rPr>
              <w:t>, SO</w:t>
            </w:r>
            <w:r w:rsidRPr="00F00714">
              <w:rPr>
                <w:b/>
                <w:vertAlign w:val="subscript"/>
              </w:rPr>
              <w:t>2</w:t>
            </w:r>
            <w:r w:rsidRPr="00F00714">
              <w:rPr>
                <w:b/>
              </w:rPr>
              <w:t>, and H</w:t>
            </w:r>
            <w:r w:rsidRPr="00F00714">
              <w:rPr>
                <w:b/>
                <w:vertAlign w:val="subscript"/>
              </w:rPr>
              <w:t>2</w:t>
            </w:r>
            <w:r w:rsidRPr="00F00714">
              <w:rPr>
                <w:b/>
              </w:rPr>
              <w:t>SO</w:t>
            </w:r>
            <w:r w:rsidRPr="00F00714">
              <w:rPr>
                <w:b/>
                <w:vertAlign w:val="subscript"/>
              </w:rPr>
              <w:t>4</w:t>
            </w:r>
          </w:p>
        </w:tc>
        <w:tc>
          <w:tcPr>
            <w:tcW w:w="1098" w:type="dxa"/>
            <w:noWrap/>
            <w:vAlign w:val="center"/>
            <w:hideMark/>
          </w:tcPr>
          <w:p w14:paraId="2335E824" w14:textId="26F6929D" w:rsidR="00284C18" w:rsidRPr="00F00714" w:rsidRDefault="00C42378" w:rsidP="00284C18">
            <w:pPr>
              <w:pStyle w:val="TableParagraph"/>
              <w:rPr>
                <w:b/>
              </w:rPr>
            </w:pPr>
            <w:r>
              <w:rPr>
                <w:b/>
              </w:rPr>
              <w:t>d (km) to n</w:t>
            </w:r>
            <w:r w:rsidR="00284C18" w:rsidRPr="00F00714">
              <w:rPr>
                <w:b/>
              </w:rPr>
              <w:t>earest CIA</w:t>
            </w:r>
          </w:p>
        </w:tc>
        <w:tc>
          <w:tcPr>
            <w:tcW w:w="810" w:type="dxa"/>
            <w:noWrap/>
            <w:vAlign w:val="center"/>
            <w:hideMark/>
          </w:tcPr>
          <w:p w14:paraId="2C5593F1" w14:textId="77777777" w:rsidR="00284C18" w:rsidRPr="00F00714" w:rsidRDefault="00284C18" w:rsidP="00284C18">
            <w:pPr>
              <w:pStyle w:val="TableParagraph"/>
              <w:rPr>
                <w:b/>
              </w:rPr>
            </w:pPr>
            <w:r w:rsidRPr="00F00714">
              <w:rPr>
                <w:b/>
              </w:rPr>
              <w:t>Q/d</w:t>
            </w:r>
          </w:p>
        </w:tc>
        <w:tc>
          <w:tcPr>
            <w:tcW w:w="2790" w:type="dxa"/>
            <w:noWrap/>
            <w:vAlign w:val="center"/>
            <w:hideMark/>
          </w:tcPr>
          <w:p w14:paraId="6A1940B7" w14:textId="77777777" w:rsidR="00284C18" w:rsidRPr="00F00714" w:rsidRDefault="00284C18" w:rsidP="00284C18">
            <w:pPr>
              <w:pStyle w:val="TableParagraph"/>
              <w:rPr>
                <w:b/>
              </w:rPr>
            </w:pPr>
            <w:r w:rsidRPr="00F00714">
              <w:rPr>
                <w:b/>
              </w:rPr>
              <w:t>Nearest CIA</w:t>
            </w:r>
          </w:p>
        </w:tc>
        <w:tc>
          <w:tcPr>
            <w:tcW w:w="2700" w:type="dxa"/>
            <w:noWrap/>
            <w:vAlign w:val="center"/>
            <w:hideMark/>
          </w:tcPr>
          <w:p w14:paraId="65D4A736" w14:textId="77777777" w:rsidR="00284C18" w:rsidRPr="00F00714" w:rsidRDefault="00284C18" w:rsidP="00284C18">
            <w:pPr>
              <w:pStyle w:val="TableParagraph"/>
              <w:rPr>
                <w:b/>
              </w:rPr>
            </w:pPr>
            <w:r w:rsidRPr="00F00714">
              <w:rPr>
                <w:b/>
              </w:rPr>
              <w:t>Category 1</w:t>
            </w:r>
          </w:p>
        </w:tc>
        <w:tc>
          <w:tcPr>
            <w:tcW w:w="1260" w:type="dxa"/>
            <w:noWrap/>
            <w:vAlign w:val="center"/>
            <w:hideMark/>
          </w:tcPr>
          <w:p w14:paraId="2A1FB0B0" w14:textId="77777777" w:rsidR="00284C18" w:rsidRPr="00F00714" w:rsidRDefault="00284C18" w:rsidP="00284C18">
            <w:pPr>
              <w:pStyle w:val="TableParagraph"/>
              <w:rPr>
                <w:b/>
              </w:rPr>
            </w:pPr>
            <w:r w:rsidRPr="00F00714">
              <w:rPr>
                <w:b/>
              </w:rPr>
              <w:t>Agency</w:t>
            </w:r>
          </w:p>
        </w:tc>
      </w:tr>
      <w:tr w:rsidR="00284C18" w:rsidRPr="004478AF" w14:paraId="6252440E" w14:textId="77777777" w:rsidTr="00284C18">
        <w:trPr>
          <w:trHeight w:val="720"/>
        </w:trPr>
        <w:tc>
          <w:tcPr>
            <w:tcW w:w="3145" w:type="dxa"/>
            <w:noWrap/>
            <w:vAlign w:val="center"/>
            <w:hideMark/>
          </w:tcPr>
          <w:p w14:paraId="11B77438" w14:textId="77777777" w:rsidR="00284C18" w:rsidRPr="004478AF" w:rsidRDefault="00284C18" w:rsidP="00284C18">
            <w:pPr>
              <w:pStyle w:val="TableParagraph"/>
            </w:pPr>
            <w:r w:rsidRPr="004478AF">
              <w:t>TransAlta Centralia Generation, LLC</w:t>
            </w:r>
          </w:p>
        </w:tc>
        <w:tc>
          <w:tcPr>
            <w:tcW w:w="1098" w:type="dxa"/>
            <w:vAlign w:val="center"/>
          </w:tcPr>
          <w:p w14:paraId="1881A42B" w14:textId="3947D275" w:rsidR="00284C18" w:rsidRPr="004478AF" w:rsidRDefault="00284C18" w:rsidP="00284C18">
            <w:pPr>
              <w:pStyle w:val="TableParagraph"/>
            </w:pPr>
            <w:r w:rsidRPr="004478AF">
              <w:t>10749.4</w:t>
            </w:r>
          </w:p>
        </w:tc>
        <w:tc>
          <w:tcPr>
            <w:tcW w:w="1098" w:type="dxa"/>
            <w:noWrap/>
            <w:vAlign w:val="center"/>
            <w:hideMark/>
          </w:tcPr>
          <w:p w14:paraId="45F248A2" w14:textId="720081D4" w:rsidR="00284C18" w:rsidRPr="004478AF" w:rsidRDefault="00284C18" w:rsidP="00284C18">
            <w:pPr>
              <w:pStyle w:val="TableParagraph"/>
            </w:pPr>
            <w:r w:rsidRPr="004478AF">
              <w:t>71.8</w:t>
            </w:r>
          </w:p>
        </w:tc>
        <w:tc>
          <w:tcPr>
            <w:tcW w:w="810" w:type="dxa"/>
            <w:noWrap/>
            <w:vAlign w:val="center"/>
            <w:hideMark/>
          </w:tcPr>
          <w:p w14:paraId="7BE64A0F" w14:textId="77777777" w:rsidR="00284C18" w:rsidRPr="004478AF" w:rsidRDefault="00284C18" w:rsidP="00284C18">
            <w:pPr>
              <w:pStyle w:val="TableParagraph"/>
            </w:pPr>
            <w:r w:rsidRPr="004478AF">
              <w:t>149.8</w:t>
            </w:r>
          </w:p>
        </w:tc>
        <w:tc>
          <w:tcPr>
            <w:tcW w:w="2790" w:type="dxa"/>
            <w:noWrap/>
            <w:vAlign w:val="center"/>
            <w:hideMark/>
          </w:tcPr>
          <w:p w14:paraId="4CB40960" w14:textId="77777777" w:rsidR="00284C18" w:rsidRPr="004478AF" w:rsidRDefault="00284C18" w:rsidP="00284C18">
            <w:pPr>
              <w:pStyle w:val="TableParagraph"/>
            </w:pPr>
            <w:r w:rsidRPr="004478AF">
              <w:t>Mount Rainier NP</w:t>
            </w:r>
          </w:p>
        </w:tc>
        <w:tc>
          <w:tcPr>
            <w:tcW w:w="2700" w:type="dxa"/>
            <w:noWrap/>
            <w:vAlign w:val="center"/>
            <w:hideMark/>
          </w:tcPr>
          <w:p w14:paraId="31D87F51" w14:textId="77777777" w:rsidR="00284C18" w:rsidRPr="004478AF" w:rsidRDefault="00284C18" w:rsidP="00284C18">
            <w:pPr>
              <w:pStyle w:val="TableParagraph"/>
            </w:pPr>
            <w:r w:rsidRPr="004478AF">
              <w:t>Coal powered electric</w:t>
            </w:r>
          </w:p>
        </w:tc>
        <w:tc>
          <w:tcPr>
            <w:tcW w:w="1260" w:type="dxa"/>
            <w:noWrap/>
            <w:vAlign w:val="center"/>
            <w:hideMark/>
          </w:tcPr>
          <w:p w14:paraId="59991F4A" w14:textId="77777777" w:rsidR="00284C18" w:rsidRPr="004478AF" w:rsidRDefault="00284C18" w:rsidP="00284C18">
            <w:pPr>
              <w:pStyle w:val="TableParagraph"/>
            </w:pPr>
            <w:r w:rsidRPr="004478AF">
              <w:t>SWCAA</w:t>
            </w:r>
          </w:p>
        </w:tc>
      </w:tr>
      <w:tr w:rsidR="00284C18" w:rsidRPr="004478AF" w14:paraId="40CE13B3" w14:textId="77777777" w:rsidTr="00284C18">
        <w:trPr>
          <w:trHeight w:val="720"/>
        </w:trPr>
        <w:tc>
          <w:tcPr>
            <w:tcW w:w="3145" w:type="dxa"/>
            <w:noWrap/>
            <w:vAlign w:val="center"/>
            <w:hideMark/>
          </w:tcPr>
          <w:p w14:paraId="0909B5B1" w14:textId="77777777" w:rsidR="00284C18" w:rsidRPr="004478AF" w:rsidRDefault="00284C18" w:rsidP="00284C18">
            <w:pPr>
              <w:pStyle w:val="TableParagraph"/>
            </w:pPr>
            <w:r w:rsidRPr="004478AF">
              <w:t>Nippon Paper Industries USA Co LTD</w:t>
            </w:r>
          </w:p>
        </w:tc>
        <w:tc>
          <w:tcPr>
            <w:tcW w:w="1098" w:type="dxa"/>
            <w:vAlign w:val="center"/>
          </w:tcPr>
          <w:p w14:paraId="1D107637" w14:textId="13619D23" w:rsidR="00284C18" w:rsidRPr="004478AF" w:rsidRDefault="00284C18" w:rsidP="00284C18">
            <w:pPr>
              <w:pStyle w:val="TableParagraph"/>
            </w:pPr>
            <w:r w:rsidRPr="004478AF">
              <w:t>367.2</w:t>
            </w:r>
          </w:p>
        </w:tc>
        <w:tc>
          <w:tcPr>
            <w:tcW w:w="1098" w:type="dxa"/>
            <w:noWrap/>
            <w:vAlign w:val="center"/>
            <w:hideMark/>
          </w:tcPr>
          <w:p w14:paraId="548BEA4B" w14:textId="2F9FB5DC" w:rsidR="00284C18" w:rsidRPr="004478AF" w:rsidRDefault="00284C18" w:rsidP="00284C18">
            <w:pPr>
              <w:pStyle w:val="TableParagraph"/>
            </w:pPr>
            <w:r w:rsidRPr="004478AF">
              <w:t>4.4</w:t>
            </w:r>
          </w:p>
        </w:tc>
        <w:tc>
          <w:tcPr>
            <w:tcW w:w="810" w:type="dxa"/>
            <w:noWrap/>
            <w:vAlign w:val="center"/>
            <w:hideMark/>
          </w:tcPr>
          <w:p w14:paraId="48D75E2C" w14:textId="77777777" w:rsidR="00284C18" w:rsidRPr="004478AF" w:rsidRDefault="00284C18" w:rsidP="00284C18">
            <w:pPr>
              <w:pStyle w:val="TableParagraph"/>
            </w:pPr>
            <w:r w:rsidRPr="004478AF">
              <w:t>83.1</w:t>
            </w:r>
          </w:p>
        </w:tc>
        <w:tc>
          <w:tcPr>
            <w:tcW w:w="2790" w:type="dxa"/>
            <w:noWrap/>
            <w:vAlign w:val="center"/>
            <w:hideMark/>
          </w:tcPr>
          <w:p w14:paraId="0944ACE2" w14:textId="77777777" w:rsidR="00284C18" w:rsidRPr="004478AF" w:rsidRDefault="00284C18" w:rsidP="00284C18">
            <w:pPr>
              <w:pStyle w:val="TableParagraph"/>
            </w:pPr>
            <w:r w:rsidRPr="004478AF">
              <w:t>Olympic NP</w:t>
            </w:r>
          </w:p>
        </w:tc>
        <w:tc>
          <w:tcPr>
            <w:tcW w:w="2700" w:type="dxa"/>
            <w:noWrap/>
            <w:vAlign w:val="center"/>
            <w:hideMark/>
          </w:tcPr>
          <w:p w14:paraId="2AA906FC" w14:textId="77777777" w:rsidR="00284C18" w:rsidRPr="004478AF" w:rsidRDefault="00284C18" w:rsidP="00284C18">
            <w:pPr>
              <w:pStyle w:val="TableParagraph"/>
            </w:pPr>
            <w:r w:rsidRPr="004478AF">
              <w:t>Pulp and Paper Plant</w:t>
            </w:r>
          </w:p>
        </w:tc>
        <w:tc>
          <w:tcPr>
            <w:tcW w:w="1260" w:type="dxa"/>
            <w:noWrap/>
            <w:vAlign w:val="center"/>
            <w:hideMark/>
          </w:tcPr>
          <w:p w14:paraId="317DC3D2" w14:textId="77777777" w:rsidR="00284C18" w:rsidRPr="004478AF" w:rsidRDefault="00284C18" w:rsidP="00284C18">
            <w:pPr>
              <w:pStyle w:val="TableParagraph"/>
            </w:pPr>
            <w:r w:rsidRPr="004478AF">
              <w:t>ORCAA</w:t>
            </w:r>
          </w:p>
        </w:tc>
      </w:tr>
      <w:tr w:rsidR="00284C18" w:rsidRPr="004478AF" w14:paraId="39631034" w14:textId="77777777" w:rsidTr="00284C18">
        <w:trPr>
          <w:trHeight w:val="720"/>
        </w:trPr>
        <w:tc>
          <w:tcPr>
            <w:tcW w:w="3145" w:type="dxa"/>
            <w:noWrap/>
            <w:vAlign w:val="center"/>
            <w:hideMark/>
          </w:tcPr>
          <w:p w14:paraId="3CD68DA6" w14:textId="77777777" w:rsidR="00284C18" w:rsidRPr="004478AF" w:rsidRDefault="00284C18" w:rsidP="00284C18">
            <w:pPr>
              <w:pStyle w:val="TableParagraph"/>
            </w:pPr>
            <w:r w:rsidRPr="004478AF">
              <w:t>Alcoa Primary Metals Wenatchee Works</w:t>
            </w:r>
          </w:p>
        </w:tc>
        <w:tc>
          <w:tcPr>
            <w:tcW w:w="1098" w:type="dxa"/>
            <w:vAlign w:val="center"/>
          </w:tcPr>
          <w:p w14:paraId="2A680D50" w14:textId="22D5F7E5" w:rsidR="00284C18" w:rsidRPr="004478AF" w:rsidRDefault="00284C18" w:rsidP="00284C18">
            <w:pPr>
              <w:pStyle w:val="TableParagraph"/>
            </w:pPr>
            <w:r w:rsidRPr="004478AF">
              <w:t>3461.7</w:t>
            </w:r>
          </w:p>
        </w:tc>
        <w:tc>
          <w:tcPr>
            <w:tcW w:w="1098" w:type="dxa"/>
            <w:noWrap/>
            <w:vAlign w:val="center"/>
            <w:hideMark/>
          </w:tcPr>
          <w:p w14:paraId="0E04E80F" w14:textId="0C4E1429" w:rsidR="00284C18" w:rsidRPr="004478AF" w:rsidRDefault="00284C18" w:rsidP="00284C18">
            <w:pPr>
              <w:pStyle w:val="TableParagraph"/>
            </w:pPr>
            <w:r w:rsidRPr="004478AF">
              <w:t>42.8</w:t>
            </w:r>
          </w:p>
        </w:tc>
        <w:tc>
          <w:tcPr>
            <w:tcW w:w="810" w:type="dxa"/>
            <w:noWrap/>
            <w:vAlign w:val="center"/>
            <w:hideMark/>
          </w:tcPr>
          <w:p w14:paraId="601F8E1B" w14:textId="77777777" w:rsidR="00284C18" w:rsidRPr="004478AF" w:rsidRDefault="00284C18" w:rsidP="00284C18">
            <w:pPr>
              <w:pStyle w:val="TableParagraph"/>
            </w:pPr>
            <w:r w:rsidRPr="004478AF">
              <w:t>80.9</w:t>
            </w:r>
          </w:p>
        </w:tc>
        <w:tc>
          <w:tcPr>
            <w:tcW w:w="2790" w:type="dxa"/>
            <w:noWrap/>
            <w:vAlign w:val="center"/>
            <w:hideMark/>
          </w:tcPr>
          <w:p w14:paraId="359B8564" w14:textId="77777777" w:rsidR="00284C18" w:rsidRPr="004478AF" w:rsidRDefault="00284C18" w:rsidP="00284C18">
            <w:pPr>
              <w:pStyle w:val="TableParagraph"/>
            </w:pPr>
            <w:r w:rsidRPr="004478AF">
              <w:t>Alpine Lakes Wilderness</w:t>
            </w:r>
          </w:p>
        </w:tc>
        <w:tc>
          <w:tcPr>
            <w:tcW w:w="2700" w:type="dxa"/>
            <w:noWrap/>
            <w:vAlign w:val="center"/>
            <w:hideMark/>
          </w:tcPr>
          <w:p w14:paraId="2A59102A" w14:textId="77777777" w:rsidR="00284C18" w:rsidRPr="004478AF" w:rsidRDefault="00284C18" w:rsidP="00284C18">
            <w:pPr>
              <w:pStyle w:val="TableParagraph"/>
            </w:pPr>
            <w:r w:rsidRPr="004478AF">
              <w:t>Alumina Refining and Aluminum Production</w:t>
            </w:r>
          </w:p>
        </w:tc>
        <w:tc>
          <w:tcPr>
            <w:tcW w:w="1260" w:type="dxa"/>
            <w:noWrap/>
            <w:vAlign w:val="center"/>
            <w:hideMark/>
          </w:tcPr>
          <w:p w14:paraId="35CDF5FF" w14:textId="77777777" w:rsidR="00284C18" w:rsidRPr="004478AF" w:rsidRDefault="00284C18" w:rsidP="00284C18">
            <w:pPr>
              <w:pStyle w:val="TableParagraph"/>
            </w:pPr>
            <w:r w:rsidRPr="004478AF">
              <w:t>Industrial</w:t>
            </w:r>
          </w:p>
        </w:tc>
      </w:tr>
      <w:tr w:rsidR="00284C18" w:rsidRPr="004478AF" w14:paraId="57566F96" w14:textId="77777777" w:rsidTr="00284C18">
        <w:trPr>
          <w:trHeight w:val="720"/>
        </w:trPr>
        <w:tc>
          <w:tcPr>
            <w:tcW w:w="3145" w:type="dxa"/>
            <w:noWrap/>
            <w:vAlign w:val="center"/>
            <w:hideMark/>
          </w:tcPr>
          <w:p w14:paraId="28716931" w14:textId="77777777" w:rsidR="00284C18" w:rsidRPr="004478AF" w:rsidRDefault="00284C18" w:rsidP="00284C18">
            <w:pPr>
              <w:pStyle w:val="TableParagraph"/>
            </w:pPr>
            <w:r w:rsidRPr="004478AF">
              <w:t>Alcoa Primary Metals Intalco Works</w:t>
            </w:r>
          </w:p>
        </w:tc>
        <w:tc>
          <w:tcPr>
            <w:tcW w:w="1098" w:type="dxa"/>
            <w:vAlign w:val="center"/>
          </w:tcPr>
          <w:p w14:paraId="11D4982B" w14:textId="0593DE2B" w:rsidR="00284C18" w:rsidRPr="004478AF" w:rsidRDefault="00284C18" w:rsidP="00284C18">
            <w:pPr>
              <w:pStyle w:val="TableParagraph"/>
            </w:pPr>
            <w:r w:rsidRPr="004478AF">
              <w:t>5658.5</w:t>
            </w:r>
          </w:p>
        </w:tc>
        <w:tc>
          <w:tcPr>
            <w:tcW w:w="1098" w:type="dxa"/>
            <w:noWrap/>
            <w:vAlign w:val="center"/>
            <w:hideMark/>
          </w:tcPr>
          <w:p w14:paraId="21DD4F86" w14:textId="3FC208B3" w:rsidR="00284C18" w:rsidRPr="004478AF" w:rsidRDefault="00284C18" w:rsidP="00284C18">
            <w:pPr>
              <w:pStyle w:val="TableParagraph"/>
            </w:pPr>
            <w:r w:rsidRPr="004478AF">
              <w:t>78.9</w:t>
            </w:r>
          </w:p>
        </w:tc>
        <w:tc>
          <w:tcPr>
            <w:tcW w:w="810" w:type="dxa"/>
            <w:noWrap/>
            <w:vAlign w:val="center"/>
            <w:hideMark/>
          </w:tcPr>
          <w:p w14:paraId="41CF5C07" w14:textId="77777777" w:rsidR="00284C18" w:rsidRPr="004478AF" w:rsidRDefault="00284C18" w:rsidP="00284C18">
            <w:pPr>
              <w:pStyle w:val="TableParagraph"/>
            </w:pPr>
            <w:r w:rsidRPr="004478AF">
              <w:t>71.7</w:t>
            </w:r>
          </w:p>
        </w:tc>
        <w:tc>
          <w:tcPr>
            <w:tcW w:w="2790" w:type="dxa"/>
            <w:noWrap/>
            <w:vAlign w:val="center"/>
            <w:hideMark/>
          </w:tcPr>
          <w:p w14:paraId="4B0A498A" w14:textId="77777777" w:rsidR="00284C18" w:rsidRPr="004478AF" w:rsidRDefault="00284C18" w:rsidP="00284C18">
            <w:pPr>
              <w:pStyle w:val="TableParagraph"/>
            </w:pPr>
            <w:r w:rsidRPr="004478AF">
              <w:t>North Cascades NP</w:t>
            </w:r>
          </w:p>
        </w:tc>
        <w:tc>
          <w:tcPr>
            <w:tcW w:w="2700" w:type="dxa"/>
            <w:noWrap/>
            <w:vAlign w:val="center"/>
            <w:hideMark/>
          </w:tcPr>
          <w:p w14:paraId="64B41A88" w14:textId="77777777" w:rsidR="00284C18" w:rsidRPr="004478AF" w:rsidRDefault="00284C18" w:rsidP="00284C18">
            <w:pPr>
              <w:pStyle w:val="TableParagraph"/>
            </w:pPr>
            <w:r w:rsidRPr="004478AF">
              <w:t>Alumina Refining and Aluminum Production</w:t>
            </w:r>
          </w:p>
        </w:tc>
        <w:tc>
          <w:tcPr>
            <w:tcW w:w="1260" w:type="dxa"/>
            <w:noWrap/>
            <w:vAlign w:val="center"/>
            <w:hideMark/>
          </w:tcPr>
          <w:p w14:paraId="6C6AC6B8" w14:textId="77777777" w:rsidR="00284C18" w:rsidRPr="004478AF" w:rsidRDefault="00284C18" w:rsidP="00284C18">
            <w:pPr>
              <w:pStyle w:val="TableParagraph"/>
            </w:pPr>
            <w:r w:rsidRPr="004478AF">
              <w:t>Industrial</w:t>
            </w:r>
          </w:p>
        </w:tc>
      </w:tr>
      <w:tr w:rsidR="00284C18" w:rsidRPr="004478AF" w14:paraId="1B6C5371" w14:textId="77777777" w:rsidTr="00284C18">
        <w:trPr>
          <w:trHeight w:val="720"/>
        </w:trPr>
        <w:tc>
          <w:tcPr>
            <w:tcW w:w="3145" w:type="dxa"/>
            <w:noWrap/>
            <w:vAlign w:val="center"/>
            <w:hideMark/>
          </w:tcPr>
          <w:p w14:paraId="2A03B951" w14:textId="77777777" w:rsidR="00284C18" w:rsidRPr="004478AF" w:rsidRDefault="00284C18" w:rsidP="00284C18">
            <w:pPr>
              <w:pStyle w:val="TableParagraph"/>
            </w:pPr>
            <w:r w:rsidRPr="004478AF">
              <w:t>BP Cherry Point Refinery</w:t>
            </w:r>
          </w:p>
        </w:tc>
        <w:tc>
          <w:tcPr>
            <w:tcW w:w="1098" w:type="dxa"/>
            <w:vAlign w:val="center"/>
          </w:tcPr>
          <w:p w14:paraId="352C2E2D" w14:textId="14BEC029" w:rsidR="00284C18" w:rsidRPr="004478AF" w:rsidRDefault="00284C18" w:rsidP="00284C18">
            <w:pPr>
              <w:pStyle w:val="TableParagraph"/>
            </w:pPr>
            <w:r w:rsidRPr="004478AF">
              <w:t>2945.0</w:t>
            </w:r>
          </w:p>
        </w:tc>
        <w:tc>
          <w:tcPr>
            <w:tcW w:w="1098" w:type="dxa"/>
            <w:noWrap/>
            <w:vAlign w:val="center"/>
            <w:hideMark/>
          </w:tcPr>
          <w:p w14:paraId="6BE91A83" w14:textId="6FB95CDB" w:rsidR="00284C18" w:rsidRPr="004478AF" w:rsidRDefault="00284C18" w:rsidP="00284C18">
            <w:pPr>
              <w:pStyle w:val="TableParagraph"/>
            </w:pPr>
            <w:r w:rsidRPr="004478AF">
              <w:t>80.8</w:t>
            </w:r>
          </w:p>
        </w:tc>
        <w:tc>
          <w:tcPr>
            <w:tcW w:w="810" w:type="dxa"/>
            <w:noWrap/>
            <w:vAlign w:val="center"/>
            <w:hideMark/>
          </w:tcPr>
          <w:p w14:paraId="01941901" w14:textId="77777777" w:rsidR="00284C18" w:rsidRPr="004478AF" w:rsidRDefault="00284C18" w:rsidP="00284C18">
            <w:pPr>
              <w:pStyle w:val="TableParagraph"/>
            </w:pPr>
            <w:r w:rsidRPr="004478AF">
              <w:t>36.4</w:t>
            </w:r>
          </w:p>
        </w:tc>
        <w:tc>
          <w:tcPr>
            <w:tcW w:w="2790" w:type="dxa"/>
            <w:noWrap/>
            <w:vAlign w:val="center"/>
            <w:hideMark/>
          </w:tcPr>
          <w:p w14:paraId="298FE686" w14:textId="77777777" w:rsidR="00284C18" w:rsidRPr="004478AF" w:rsidRDefault="00284C18" w:rsidP="00284C18">
            <w:pPr>
              <w:pStyle w:val="TableParagraph"/>
            </w:pPr>
            <w:r w:rsidRPr="004478AF">
              <w:t>North Cascades NP</w:t>
            </w:r>
          </w:p>
        </w:tc>
        <w:tc>
          <w:tcPr>
            <w:tcW w:w="2700" w:type="dxa"/>
            <w:noWrap/>
            <w:vAlign w:val="center"/>
            <w:hideMark/>
          </w:tcPr>
          <w:p w14:paraId="108B6E23" w14:textId="77777777" w:rsidR="00284C18" w:rsidRPr="004478AF" w:rsidRDefault="00284C18" w:rsidP="00284C18">
            <w:pPr>
              <w:pStyle w:val="TableParagraph"/>
            </w:pPr>
            <w:r w:rsidRPr="004478AF">
              <w:t>Petroleum Refineries</w:t>
            </w:r>
          </w:p>
        </w:tc>
        <w:tc>
          <w:tcPr>
            <w:tcW w:w="1260" w:type="dxa"/>
            <w:noWrap/>
            <w:vAlign w:val="center"/>
            <w:hideMark/>
          </w:tcPr>
          <w:p w14:paraId="500CF052" w14:textId="77777777" w:rsidR="00284C18" w:rsidRPr="004478AF" w:rsidRDefault="00284C18" w:rsidP="00284C18">
            <w:pPr>
              <w:pStyle w:val="TableParagraph"/>
            </w:pPr>
            <w:r w:rsidRPr="004478AF">
              <w:t>NWCAA</w:t>
            </w:r>
          </w:p>
        </w:tc>
      </w:tr>
      <w:tr w:rsidR="00284C18" w:rsidRPr="004478AF" w14:paraId="4E53CCA5" w14:textId="77777777" w:rsidTr="00284C18">
        <w:trPr>
          <w:trHeight w:val="720"/>
        </w:trPr>
        <w:tc>
          <w:tcPr>
            <w:tcW w:w="3145" w:type="dxa"/>
            <w:noWrap/>
            <w:vAlign w:val="center"/>
            <w:hideMark/>
          </w:tcPr>
          <w:p w14:paraId="25C9E986" w14:textId="77777777" w:rsidR="00284C18" w:rsidRPr="004478AF" w:rsidRDefault="00284C18" w:rsidP="00284C18">
            <w:pPr>
              <w:pStyle w:val="TableParagraph"/>
            </w:pPr>
            <w:r w:rsidRPr="004478AF">
              <w:t>Tesoro Northwest Company</w:t>
            </w:r>
          </w:p>
        </w:tc>
        <w:tc>
          <w:tcPr>
            <w:tcW w:w="1098" w:type="dxa"/>
            <w:vAlign w:val="center"/>
          </w:tcPr>
          <w:p w14:paraId="58CF4317" w14:textId="74DEA2A2" w:rsidR="00284C18" w:rsidRPr="004478AF" w:rsidRDefault="00284C18" w:rsidP="00284C18">
            <w:pPr>
              <w:pStyle w:val="TableParagraph"/>
            </w:pPr>
            <w:r w:rsidRPr="004478AF">
              <w:t>2312.3</w:t>
            </w:r>
          </w:p>
        </w:tc>
        <w:tc>
          <w:tcPr>
            <w:tcW w:w="1098" w:type="dxa"/>
            <w:noWrap/>
            <w:vAlign w:val="center"/>
            <w:hideMark/>
          </w:tcPr>
          <w:p w14:paraId="4E107A7E" w14:textId="3C490846" w:rsidR="00284C18" w:rsidRPr="004478AF" w:rsidRDefault="00284C18" w:rsidP="00284C18">
            <w:pPr>
              <w:pStyle w:val="TableParagraph"/>
            </w:pPr>
            <w:r w:rsidRPr="004478AF">
              <w:t>75.4</w:t>
            </w:r>
          </w:p>
        </w:tc>
        <w:tc>
          <w:tcPr>
            <w:tcW w:w="810" w:type="dxa"/>
            <w:noWrap/>
            <w:vAlign w:val="center"/>
            <w:hideMark/>
          </w:tcPr>
          <w:p w14:paraId="271E69D2" w14:textId="77777777" w:rsidR="00284C18" w:rsidRPr="004478AF" w:rsidRDefault="00284C18" w:rsidP="00284C18">
            <w:pPr>
              <w:pStyle w:val="TableParagraph"/>
            </w:pPr>
            <w:r w:rsidRPr="004478AF">
              <w:t>30.7</w:t>
            </w:r>
          </w:p>
        </w:tc>
        <w:tc>
          <w:tcPr>
            <w:tcW w:w="2790" w:type="dxa"/>
            <w:noWrap/>
            <w:vAlign w:val="center"/>
            <w:hideMark/>
          </w:tcPr>
          <w:p w14:paraId="54CE6179" w14:textId="77777777" w:rsidR="00284C18" w:rsidRPr="004478AF" w:rsidRDefault="00284C18" w:rsidP="00284C18">
            <w:pPr>
              <w:pStyle w:val="TableParagraph"/>
            </w:pPr>
            <w:r w:rsidRPr="004478AF">
              <w:t>Olympic NP</w:t>
            </w:r>
          </w:p>
        </w:tc>
        <w:tc>
          <w:tcPr>
            <w:tcW w:w="2700" w:type="dxa"/>
            <w:noWrap/>
            <w:vAlign w:val="center"/>
            <w:hideMark/>
          </w:tcPr>
          <w:p w14:paraId="0C7E440A" w14:textId="77777777" w:rsidR="00284C18" w:rsidRPr="004478AF" w:rsidRDefault="00284C18" w:rsidP="00284C18">
            <w:pPr>
              <w:pStyle w:val="TableParagraph"/>
            </w:pPr>
            <w:r w:rsidRPr="004478AF">
              <w:t>Petroleum Refineries</w:t>
            </w:r>
          </w:p>
        </w:tc>
        <w:tc>
          <w:tcPr>
            <w:tcW w:w="1260" w:type="dxa"/>
            <w:noWrap/>
            <w:vAlign w:val="center"/>
            <w:hideMark/>
          </w:tcPr>
          <w:p w14:paraId="6304E861" w14:textId="77777777" w:rsidR="00284C18" w:rsidRPr="004478AF" w:rsidRDefault="00284C18" w:rsidP="00284C18">
            <w:pPr>
              <w:pStyle w:val="TableParagraph"/>
            </w:pPr>
            <w:r w:rsidRPr="004478AF">
              <w:t>NWCAA</w:t>
            </w:r>
          </w:p>
        </w:tc>
      </w:tr>
      <w:tr w:rsidR="00284C18" w:rsidRPr="004478AF" w14:paraId="19EEA457" w14:textId="77777777" w:rsidTr="00284C18">
        <w:trPr>
          <w:trHeight w:val="720"/>
        </w:trPr>
        <w:tc>
          <w:tcPr>
            <w:tcW w:w="3145" w:type="dxa"/>
            <w:noWrap/>
            <w:vAlign w:val="center"/>
            <w:hideMark/>
          </w:tcPr>
          <w:p w14:paraId="7FDEB5FF" w14:textId="77777777" w:rsidR="00284C18" w:rsidRPr="004478AF" w:rsidRDefault="00284C18" w:rsidP="00284C18">
            <w:pPr>
              <w:pStyle w:val="TableParagraph"/>
            </w:pPr>
            <w:r w:rsidRPr="004478AF">
              <w:t>RockTenn Tacoma Mill</w:t>
            </w:r>
          </w:p>
        </w:tc>
        <w:tc>
          <w:tcPr>
            <w:tcW w:w="1098" w:type="dxa"/>
            <w:vAlign w:val="center"/>
          </w:tcPr>
          <w:p w14:paraId="5926A0D9" w14:textId="1C121478" w:rsidR="00284C18" w:rsidRPr="004478AF" w:rsidRDefault="00284C18" w:rsidP="00284C18">
            <w:pPr>
              <w:pStyle w:val="TableParagraph"/>
            </w:pPr>
            <w:r w:rsidRPr="004478AF">
              <w:t>1353.7</w:t>
            </w:r>
          </w:p>
        </w:tc>
        <w:tc>
          <w:tcPr>
            <w:tcW w:w="1098" w:type="dxa"/>
            <w:noWrap/>
            <w:vAlign w:val="center"/>
            <w:hideMark/>
          </w:tcPr>
          <w:p w14:paraId="1DF8F299" w14:textId="05BA5A4B" w:rsidR="00284C18" w:rsidRPr="004478AF" w:rsidRDefault="00284C18" w:rsidP="00284C18">
            <w:pPr>
              <w:pStyle w:val="TableParagraph"/>
            </w:pPr>
            <w:r w:rsidRPr="004478AF">
              <w:t>48.4</w:t>
            </w:r>
          </w:p>
        </w:tc>
        <w:tc>
          <w:tcPr>
            <w:tcW w:w="810" w:type="dxa"/>
            <w:noWrap/>
            <w:vAlign w:val="center"/>
            <w:hideMark/>
          </w:tcPr>
          <w:p w14:paraId="2273CB35" w14:textId="77777777" w:rsidR="00284C18" w:rsidRPr="004478AF" w:rsidRDefault="00284C18" w:rsidP="00284C18">
            <w:pPr>
              <w:pStyle w:val="TableParagraph"/>
            </w:pPr>
            <w:r w:rsidRPr="004478AF">
              <w:t>27.9</w:t>
            </w:r>
          </w:p>
        </w:tc>
        <w:tc>
          <w:tcPr>
            <w:tcW w:w="2790" w:type="dxa"/>
            <w:noWrap/>
            <w:vAlign w:val="center"/>
            <w:hideMark/>
          </w:tcPr>
          <w:p w14:paraId="4F47867F" w14:textId="77777777" w:rsidR="00284C18" w:rsidRPr="004478AF" w:rsidRDefault="00284C18" w:rsidP="00284C18">
            <w:pPr>
              <w:pStyle w:val="TableParagraph"/>
            </w:pPr>
            <w:r w:rsidRPr="004478AF">
              <w:t>Mount Rainier NP</w:t>
            </w:r>
          </w:p>
        </w:tc>
        <w:tc>
          <w:tcPr>
            <w:tcW w:w="2700" w:type="dxa"/>
            <w:noWrap/>
            <w:vAlign w:val="center"/>
            <w:hideMark/>
          </w:tcPr>
          <w:p w14:paraId="05FF929A" w14:textId="77777777" w:rsidR="00284C18" w:rsidRPr="004478AF" w:rsidRDefault="00284C18" w:rsidP="00284C18">
            <w:pPr>
              <w:pStyle w:val="TableParagraph"/>
            </w:pPr>
            <w:r w:rsidRPr="004478AF">
              <w:t>Pulp, Paper, and Paperboard Mills</w:t>
            </w:r>
          </w:p>
        </w:tc>
        <w:tc>
          <w:tcPr>
            <w:tcW w:w="1260" w:type="dxa"/>
            <w:noWrap/>
            <w:vAlign w:val="center"/>
            <w:hideMark/>
          </w:tcPr>
          <w:p w14:paraId="38A7D6F7" w14:textId="77777777" w:rsidR="00284C18" w:rsidRPr="004478AF" w:rsidRDefault="00284C18" w:rsidP="00284C18">
            <w:pPr>
              <w:pStyle w:val="TableParagraph"/>
            </w:pPr>
            <w:r w:rsidRPr="004478AF">
              <w:t>Industrial</w:t>
            </w:r>
          </w:p>
        </w:tc>
      </w:tr>
      <w:tr w:rsidR="00284C18" w:rsidRPr="004478AF" w14:paraId="07615768" w14:textId="77777777" w:rsidTr="00284C18">
        <w:trPr>
          <w:trHeight w:val="720"/>
        </w:trPr>
        <w:tc>
          <w:tcPr>
            <w:tcW w:w="3145" w:type="dxa"/>
            <w:noWrap/>
            <w:vAlign w:val="center"/>
            <w:hideMark/>
          </w:tcPr>
          <w:p w14:paraId="73235294" w14:textId="77777777" w:rsidR="00284C18" w:rsidRPr="004478AF" w:rsidRDefault="00284C18" w:rsidP="00284C18">
            <w:pPr>
              <w:pStyle w:val="TableParagraph"/>
            </w:pPr>
            <w:r w:rsidRPr="004478AF">
              <w:t>Weyerhaeuser NR Company</w:t>
            </w:r>
          </w:p>
        </w:tc>
        <w:tc>
          <w:tcPr>
            <w:tcW w:w="1098" w:type="dxa"/>
            <w:vAlign w:val="center"/>
          </w:tcPr>
          <w:p w14:paraId="5A428E82" w14:textId="7CA7FD8E" w:rsidR="00284C18" w:rsidRPr="004478AF" w:rsidRDefault="00284C18" w:rsidP="00284C18">
            <w:pPr>
              <w:pStyle w:val="TableParagraph"/>
            </w:pPr>
            <w:r w:rsidRPr="004478AF">
              <w:t>2656.0</w:t>
            </w:r>
          </w:p>
        </w:tc>
        <w:tc>
          <w:tcPr>
            <w:tcW w:w="1098" w:type="dxa"/>
            <w:noWrap/>
            <w:vAlign w:val="center"/>
            <w:hideMark/>
          </w:tcPr>
          <w:p w14:paraId="2D23E1B7" w14:textId="3B161C25" w:rsidR="00284C18" w:rsidRPr="004478AF" w:rsidRDefault="00284C18" w:rsidP="00284C18">
            <w:pPr>
              <w:pStyle w:val="TableParagraph"/>
            </w:pPr>
            <w:r w:rsidRPr="004478AF">
              <w:t>104.8</w:t>
            </w:r>
          </w:p>
        </w:tc>
        <w:tc>
          <w:tcPr>
            <w:tcW w:w="810" w:type="dxa"/>
            <w:noWrap/>
            <w:vAlign w:val="center"/>
            <w:hideMark/>
          </w:tcPr>
          <w:p w14:paraId="3F813CCF" w14:textId="77777777" w:rsidR="00284C18" w:rsidRPr="004478AF" w:rsidRDefault="00284C18" w:rsidP="00284C18">
            <w:pPr>
              <w:pStyle w:val="TableParagraph"/>
            </w:pPr>
            <w:r w:rsidRPr="004478AF">
              <w:t>25.3</w:t>
            </w:r>
          </w:p>
        </w:tc>
        <w:tc>
          <w:tcPr>
            <w:tcW w:w="2790" w:type="dxa"/>
            <w:noWrap/>
            <w:vAlign w:val="center"/>
            <w:hideMark/>
          </w:tcPr>
          <w:p w14:paraId="5C069B01" w14:textId="77777777" w:rsidR="00284C18" w:rsidRPr="004478AF" w:rsidRDefault="00284C18" w:rsidP="00284C18">
            <w:pPr>
              <w:pStyle w:val="TableParagraph"/>
            </w:pPr>
            <w:r w:rsidRPr="004478AF">
              <w:t>Mount Adams Wilderness</w:t>
            </w:r>
          </w:p>
        </w:tc>
        <w:tc>
          <w:tcPr>
            <w:tcW w:w="2700" w:type="dxa"/>
            <w:noWrap/>
            <w:vAlign w:val="center"/>
            <w:hideMark/>
          </w:tcPr>
          <w:p w14:paraId="04754BFC" w14:textId="77777777" w:rsidR="00284C18" w:rsidRPr="004478AF" w:rsidRDefault="00284C18" w:rsidP="00284C18">
            <w:pPr>
              <w:pStyle w:val="TableParagraph"/>
            </w:pPr>
            <w:r w:rsidRPr="004478AF">
              <w:t>Paperboard Mills</w:t>
            </w:r>
          </w:p>
        </w:tc>
        <w:tc>
          <w:tcPr>
            <w:tcW w:w="1260" w:type="dxa"/>
            <w:noWrap/>
            <w:vAlign w:val="center"/>
            <w:hideMark/>
          </w:tcPr>
          <w:p w14:paraId="22F0B520" w14:textId="77777777" w:rsidR="00284C18" w:rsidRPr="004478AF" w:rsidRDefault="00284C18" w:rsidP="00284C18">
            <w:pPr>
              <w:pStyle w:val="TableParagraph"/>
            </w:pPr>
            <w:r w:rsidRPr="004478AF">
              <w:t>Industrial</w:t>
            </w:r>
          </w:p>
        </w:tc>
      </w:tr>
      <w:tr w:rsidR="00284C18" w:rsidRPr="004478AF" w14:paraId="282F2FFA" w14:textId="77777777" w:rsidTr="00284C18">
        <w:trPr>
          <w:trHeight w:val="720"/>
        </w:trPr>
        <w:tc>
          <w:tcPr>
            <w:tcW w:w="3145" w:type="dxa"/>
            <w:noWrap/>
            <w:vAlign w:val="center"/>
            <w:hideMark/>
          </w:tcPr>
          <w:p w14:paraId="3C62EEE6" w14:textId="77777777" w:rsidR="00284C18" w:rsidRPr="004478AF" w:rsidRDefault="00284C18" w:rsidP="00284C18">
            <w:pPr>
              <w:pStyle w:val="TableParagraph"/>
            </w:pPr>
            <w:r w:rsidRPr="004478AF">
              <w:t>Puget Sound Refining Company (Shell)</w:t>
            </w:r>
          </w:p>
        </w:tc>
        <w:tc>
          <w:tcPr>
            <w:tcW w:w="1098" w:type="dxa"/>
            <w:vAlign w:val="center"/>
          </w:tcPr>
          <w:p w14:paraId="30E1C1D4" w14:textId="53B7391B" w:rsidR="00284C18" w:rsidRPr="004478AF" w:rsidRDefault="00284C18" w:rsidP="00284C18">
            <w:pPr>
              <w:pStyle w:val="TableParagraph"/>
            </w:pPr>
            <w:r w:rsidRPr="004478AF">
              <w:t>1793.1</w:t>
            </w:r>
          </w:p>
        </w:tc>
        <w:tc>
          <w:tcPr>
            <w:tcW w:w="1098" w:type="dxa"/>
            <w:noWrap/>
            <w:vAlign w:val="center"/>
            <w:hideMark/>
          </w:tcPr>
          <w:p w14:paraId="3A73B749" w14:textId="3F4ABA81" w:rsidR="00284C18" w:rsidRPr="004478AF" w:rsidRDefault="00284C18" w:rsidP="00284C18">
            <w:pPr>
              <w:pStyle w:val="TableParagraph"/>
            </w:pPr>
            <w:r w:rsidRPr="004478AF">
              <w:t>73.0</w:t>
            </w:r>
          </w:p>
        </w:tc>
        <w:tc>
          <w:tcPr>
            <w:tcW w:w="810" w:type="dxa"/>
            <w:noWrap/>
            <w:vAlign w:val="center"/>
            <w:hideMark/>
          </w:tcPr>
          <w:p w14:paraId="5529BDAE" w14:textId="77777777" w:rsidR="00284C18" w:rsidRPr="004478AF" w:rsidRDefault="00284C18" w:rsidP="00284C18">
            <w:pPr>
              <w:pStyle w:val="TableParagraph"/>
            </w:pPr>
            <w:r w:rsidRPr="004478AF">
              <w:t>24.5</w:t>
            </w:r>
          </w:p>
        </w:tc>
        <w:tc>
          <w:tcPr>
            <w:tcW w:w="2790" w:type="dxa"/>
            <w:noWrap/>
            <w:vAlign w:val="center"/>
            <w:hideMark/>
          </w:tcPr>
          <w:p w14:paraId="3D5EACFA" w14:textId="77777777" w:rsidR="00284C18" w:rsidRPr="004478AF" w:rsidRDefault="00284C18" w:rsidP="00284C18">
            <w:pPr>
              <w:pStyle w:val="TableParagraph"/>
            </w:pPr>
            <w:r w:rsidRPr="004478AF">
              <w:t>Olympic NP</w:t>
            </w:r>
          </w:p>
        </w:tc>
        <w:tc>
          <w:tcPr>
            <w:tcW w:w="2700" w:type="dxa"/>
            <w:noWrap/>
            <w:vAlign w:val="center"/>
            <w:hideMark/>
          </w:tcPr>
          <w:p w14:paraId="741EDAD1" w14:textId="77777777" w:rsidR="00284C18" w:rsidRPr="004478AF" w:rsidRDefault="00284C18" w:rsidP="00284C18">
            <w:pPr>
              <w:pStyle w:val="TableParagraph"/>
            </w:pPr>
            <w:r w:rsidRPr="004478AF">
              <w:t>Petroleum Refineries</w:t>
            </w:r>
          </w:p>
        </w:tc>
        <w:tc>
          <w:tcPr>
            <w:tcW w:w="1260" w:type="dxa"/>
            <w:noWrap/>
            <w:vAlign w:val="center"/>
            <w:hideMark/>
          </w:tcPr>
          <w:p w14:paraId="5EBD889F" w14:textId="77777777" w:rsidR="00284C18" w:rsidRPr="004478AF" w:rsidRDefault="00284C18" w:rsidP="00284C18">
            <w:pPr>
              <w:pStyle w:val="TableParagraph"/>
            </w:pPr>
            <w:r w:rsidRPr="004478AF">
              <w:t>NWCAA</w:t>
            </w:r>
          </w:p>
        </w:tc>
      </w:tr>
      <w:tr w:rsidR="00284C18" w:rsidRPr="004478AF" w14:paraId="07BCDD14" w14:textId="77777777" w:rsidTr="00284C18">
        <w:trPr>
          <w:trHeight w:val="720"/>
        </w:trPr>
        <w:tc>
          <w:tcPr>
            <w:tcW w:w="3145" w:type="dxa"/>
            <w:noWrap/>
            <w:vAlign w:val="center"/>
            <w:hideMark/>
          </w:tcPr>
          <w:p w14:paraId="35505918" w14:textId="77777777" w:rsidR="00284C18" w:rsidRPr="004478AF" w:rsidRDefault="00284C18" w:rsidP="00284C18">
            <w:pPr>
              <w:pStyle w:val="TableParagraph"/>
            </w:pPr>
            <w:r w:rsidRPr="004478AF">
              <w:t>Pt Townsend Paper</w:t>
            </w:r>
          </w:p>
        </w:tc>
        <w:tc>
          <w:tcPr>
            <w:tcW w:w="1098" w:type="dxa"/>
            <w:vAlign w:val="center"/>
          </w:tcPr>
          <w:p w14:paraId="1117AC30" w14:textId="371698DA" w:rsidR="00284C18" w:rsidRPr="004478AF" w:rsidRDefault="00284C18" w:rsidP="00284C18">
            <w:pPr>
              <w:pStyle w:val="TableParagraph"/>
            </w:pPr>
            <w:r w:rsidRPr="004478AF">
              <w:t>848.0</w:t>
            </w:r>
          </w:p>
        </w:tc>
        <w:tc>
          <w:tcPr>
            <w:tcW w:w="1098" w:type="dxa"/>
            <w:noWrap/>
            <w:vAlign w:val="center"/>
            <w:hideMark/>
          </w:tcPr>
          <w:p w14:paraId="6676CE4D" w14:textId="1EF75229" w:rsidR="00284C18" w:rsidRPr="004478AF" w:rsidRDefault="00284C18" w:rsidP="00284C18">
            <w:pPr>
              <w:pStyle w:val="TableParagraph"/>
            </w:pPr>
            <w:r w:rsidRPr="004478AF">
              <w:t>35.0</w:t>
            </w:r>
          </w:p>
        </w:tc>
        <w:tc>
          <w:tcPr>
            <w:tcW w:w="810" w:type="dxa"/>
            <w:noWrap/>
            <w:vAlign w:val="center"/>
            <w:hideMark/>
          </w:tcPr>
          <w:p w14:paraId="6DDE094F" w14:textId="77777777" w:rsidR="00284C18" w:rsidRPr="004478AF" w:rsidRDefault="00284C18" w:rsidP="00284C18">
            <w:pPr>
              <w:pStyle w:val="TableParagraph"/>
            </w:pPr>
            <w:r w:rsidRPr="004478AF">
              <w:t>24.2</w:t>
            </w:r>
          </w:p>
        </w:tc>
        <w:tc>
          <w:tcPr>
            <w:tcW w:w="2790" w:type="dxa"/>
            <w:noWrap/>
            <w:vAlign w:val="center"/>
            <w:hideMark/>
          </w:tcPr>
          <w:p w14:paraId="7A180BB7" w14:textId="77777777" w:rsidR="00284C18" w:rsidRPr="004478AF" w:rsidRDefault="00284C18" w:rsidP="00284C18">
            <w:pPr>
              <w:pStyle w:val="TableParagraph"/>
            </w:pPr>
            <w:r w:rsidRPr="004478AF">
              <w:t>Olympic NP</w:t>
            </w:r>
          </w:p>
        </w:tc>
        <w:tc>
          <w:tcPr>
            <w:tcW w:w="2700" w:type="dxa"/>
            <w:noWrap/>
            <w:vAlign w:val="center"/>
            <w:hideMark/>
          </w:tcPr>
          <w:p w14:paraId="07865A9A" w14:textId="77777777" w:rsidR="00284C18" w:rsidRPr="004478AF" w:rsidRDefault="00284C18" w:rsidP="00284C18">
            <w:pPr>
              <w:pStyle w:val="TableParagraph"/>
            </w:pPr>
            <w:r w:rsidRPr="004478AF">
              <w:t>Paper (not Newsprint) Mills</w:t>
            </w:r>
          </w:p>
        </w:tc>
        <w:tc>
          <w:tcPr>
            <w:tcW w:w="1260" w:type="dxa"/>
            <w:noWrap/>
            <w:vAlign w:val="center"/>
            <w:hideMark/>
          </w:tcPr>
          <w:p w14:paraId="484E87CF" w14:textId="77777777" w:rsidR="00284C18" w:rsidRPr="004478AF" w:rsidRDefault="00284C18" w:rsidP="00284C18">
            <w:pPr>
              <w:pStyle w:val="TableParagraph"/>
            </w:pPr>
            <w:r w:rsidRPr="004478AF">
              <w:t>Industrial</w:t>
            </w:r>
          </w:p>
        </w:tc>
      </w:tr>
      <w:tr w:rsidR="00284C18" w:rsidRPr="004478AF" w14:paraId="4E0519B0" w14:textId="77777777" w:rsidTr="00284C18">
        <w:trPr>
          <w:trHeight w:val="720"/>
        </w:trPr>
        <w:tc>
          <w:tcPr>
            <w:tcW w:w="3145" w:type="dxa"/>
            <w:noWrap/>
            <w:vAlign w:val="center"/>
            <w:hideMark/>
          </w:tcPr>
          <w:p w14:paraId="737A09AD" w14:textId="77777777" w:rsidR="00284C18" w:rsidRPr="004478AF" w:rsidRDefault="00284C18" w:rsidP="00284C18">
            <w:pPr>
              <w:pStyle w:val="TableParagraph"/>
            </w:pPr>
            <w:r w:rsidRPr="004478AF">
              <w:lastRenderedPageBreak/>
              <w:t>Ash Grove Cement Co, E Marginal</w:t>
            </w:r>
          </w:p>
        </w:tc>
        <w:tc>
          <w:tcPr>
            <w:tcW w:w="1098" w:type="dxa"/>
            <w:vAlign w:val="center"/>
          </w:tcPr>
          <w:p w14:paraId="5EA24C98" w14:textId="78F2A714" w:rsidR="00284C18" w:rsidRPr="004478AF" w:rsidRDefault="00284C18" w:rsidP="00284C18">
            <w:pPr>
              <w:pStyle w:val="TableParagraph"/>
            </w:pPr>
            <w:r w:rsidRPr="004478AF">
              <w:t>1243.6</w:t>
            </w:r>
          </w:p>
        </w:tc>
        <w:tc>
          <w:tcPr>
            <w:tcW w:w="1098" w:type="dxa"/>
            <w:noWrap/>
            <w:vAlign w:val="center"/>
            <w:hideMark/>
          </w:tcPr>
          <w:p w14:paraId="2BD221A4" w14:textId="1AD7AA05" w:rsidR="00284C18" w:rsidRPr="004478AF" w:rsidRDefault="00284C18" w:rsidP="00284C18">
            <w:pPr>
              <w:pStyle w:val="TableParagraph"/>
            </w:pPr>
            <w:r w:rsidRPr="004478AF">
              <w:t>53.8</w:t>
            </w:r>
          </w:p>
        </w:tc>
        <w:tc>
          <w:tcPr>
            <w:tcW w:w="810" w:type="dxa"/>
            <w:noWrap/>
            <w:vAlign w:val="center"/>
            <w:hideMark/>
          </w:tcPr>
          <w:p w14:paraId="2F47DC07" w14:textId="77777777" w:rsidR="00284C18" w:rsidRPr="004478AF" w:rsidRDefault="00284C18" w:rsidP="00284C18">
            <w:pPr>
              <w:pStyle w:val="TableParagraph"/>
            </w:pPr>
            <w:r w:rsidRPr="004478AF">
              <w:t>23.1</w:t>
            </w:r>
          </w:p>
        </w:tc>
        <w:tc>
          <w:tcPr>
            <w:tcW w:w="2790" w:type="dxa"/>
            <w:noWrap/>
            <w:vAlign w:val="center"/>
            <w:hideMark/>
          </w:tcPr>
          <w:p w14:paraId="72D0C172" w14:textId="77777777" w:rsidR="00284C18" w:rsidRPr="004478AF" w:rsidRDefault="00284C18" w:rsidP="00284C18">
            <w:pPr>
              <w:pStyle w:val="TableParagraph"/>
            </w:pPr>
            <w:r w:rsidRPr="004478AF">
              <w:t>Alpine Lakes Wilderness</w:t>
            </w:r>
          </w:p>
        </w:tc>
        <w:tc>
          <w:tcPr>
            <w:tcW w:w="2700" w:type="dxa"/>
            <w:noWrap/>
            <w:vAlign w:val="center"/>
            <w:hideMark/>
          </w:tcPr>
          <w:p w14:paraId="4D9A2880" w14:textId="77777777" w:rsidR="00284C18" w:rsidRPr="004478AF" w:rsidRDefault="00284C18" w:rsidP="00284C18">
            <w:pPr>
              <w:pStyle w:val="TableParagraph"/>
            </w:pPr>
            <w:r w:rsidRPr="004478AF">
              <w:t>Cement Manufacturing</w:t>
            </w:r>
          </w:p>
        </w:tc>
        <w:tc>
          <w:tcPr>
            <w:tcW w:w="1260" w:type="dxa"/>
            <w:noWrap/>
            <w:vAlign w:val="center"/>
            <w:hideMark/>
          </w:tcPr>
          <w:p w14:paraId="2E109A88" w14:textId="77777777" w:rsidR="00284C18" w:rsidRPr="004478AF" w:rsidRDefault="00284C18" w:rsidP="00284C18">
            <w:pPr>
              <w:pStyle w:val="TableParagraph"/>
            </w:pPr>
            <w:r w:rsidRPr="004478AF">
              <w:t>PSCAA</w:t>
            </w:r>
          </w:p>
        </w:tc>
      </w:tr>
      <w:tr w:rsidR="00284C18" w:rsidRPr="004478AF" w14:paraId="694AEF2E" w14:textId="77777777" w:rsidTr="00284C18">
        <w:trPr>
          <w:trHeight w:val="720"/>
        </w:trPr>
        <w:tc>
          <w:tcPr>
            <w:tcW w:w="3145" w:type="dxa"/>
            <w:noWrap/>
            <w:vAlign w:val="center"/>
            <w:hideMark/>
          </w:tcPr>
          <w:p w14:paraId="34B75D50" w14:textId="77777777" w:rsidR="00284C18" w:rsidRPr="004478AF" w:rsidRDefault="00284C18" w:rsidP="00284C18">
            <w:pPr>
              <w:pStyle w:val="TableParagraph"/>
            </w:pPr>
            <w:r w:rsidRPr="004478AF">
              <w:t>Cosmo Specialty Fibers, Inc.</w:t>
            </w:r>
          </w:p>
        </w:tc>
        <w:tc>
          <w:tcPr>
            <w:tcW w:w="1098" w:type="dxa"/>
            <w:vAlign w:val="center"/>
          </w:tcPr>
          <w:p w14:paraId="0A78A1B1" w14:textId="100099D6" w:rsidR="00284C18" w:rsidRPr="004478AF" w:rsidRDefault="00284C18" w:rsidP="00284C18">
            <w:pPr>
              <w:pStyle w:val="TableParagraph"/>
            </w:pPr>
            <w:r w:rsidRPr="004478AF">
              <w:t>973.8</w:t>
            </w:r>
          </w:p>
        </w:tc>
        <w:tc>
          <w:tcPr>
            <w:tcW w:w="1098" w:type="dxa"/>
            <w:noWrap/>
            <w:vAlign w:val="center"/>
            <w:hideMark/>
          </w:tcPr>
          <w:p w14:paraId="7983A0DF" w14:textId="5B814D20" w:rsidR="00284C18" w:rsidRPr="004478AF" w:rsidRDefault="00284C18" w:rsidP="00284C18">
            <w:pPr>
              <w:pStyle w:val="TableParagraph"/>
            </w:pPr>
            <w:r w:rsidRPr="004478AF">
              <w:t>58.2</w:t>
            </w:r>
          </w:p>
        </w:tc>
        <w:tc>
          <w:tcPr>
            <w:tcW w:w="810" w:type="dxa"/>
            <w:noWrap/>
            <w:vAlign w:val="center"/>
            <w:hideMark/>
          </w:tcPr>
          <w:p w14:paraId="552704E6" w14:textId="77777777" w:rsidR="00284C18" w:rsidRPr="004478AF" w:rsidRDefault="00284C18" w:rsidP="00284C18">
            <w:pPr>
              <w:pStyle w:val="TableParagraph"/>
            </w:pPr>
            <w:r w:rsidRPr="004478AF">
              <w:t>16.7</w:t>
            </w:r>
          </w:p>
        </w:tc>
        <w:tc>
          <w:tcPr>
            <w:tcW w:w="2790" w:type="dxa"/>
            <w:noWrap/>
            <w:vAlign w:val="center"/>
            <w:hideMark/>
          </w:tcPr>
          <w:p w14:paraId="54F3C59E" w14:textId="77777777" w:rsidR="00284C18" w:rsidRPr="004478AF" w:rsidRDefault="00284C18" w:rsidP="00284C18">
            <w:pPr>
              <w:pStyle w:val="TableParagraph"/>
            </w:pPr>
            <w:r w:rsidRPr="004478AF">
              <w:t>Olympic NP</w:t>
            </w:r>
          </w:p>
        </w:tc>
        <w:tc>
          <w:tcPr>
            <w:tcW w:w="2700" w:type="dxa"/>
            <w:noWrap/>
            <w:vAlign w:val="center"/>
            <w:hideMark/>
          </w:tcPr>
          <w:p w14:paraId="26F124FA" w14:textId="77777777" w:rsidR="00284C18" w:rsidRPr="004478AF" w:rsidRDefault="00284C18" w:rsidP="00284C18">
            <w:pPr>
              <w:pStyle w:val="TableParagraph"/>
            </w:pPr>
            <w:r w:rsidRPr="004478AF">
              <w:t>Paperboard Mills</w:t>
            </w:r>
          </w:p>
        </w:tc>
        <w:tc>
          <w:tcPr>
            <w:tcW w:w="1260" w:type="dxa"/>
            <w:noWrap/>
            <w:vAlign w:val="center"/>
            <w:hideMark/>
          </w:tcPr>
          <w:p w14:paraId="0C2457DA" w14:textId="77777777" w:rsidR="00284C18" w:rsidRPr="004478AF" w:rsidRDefault="00284C18" w:rsidP="00284C18">
            <w:pPr>
              <w:pStyle w:val="TableParagraph"/>
            </w:pPr>
            <w:r w:rsidRPr="004478AF">
              <w:t>Industrial</w:t>
            </w:r>
          </w:p>
        </w:tc>
      </w:tr>
      <w:tr w:rsidR="00284C18" w:rsidRPr="004478AF" w14:paraId="3DB07D3E" w14:textId="77777777" w:rsidTr="00284C18">
        <w:trPr>
          <w:trHeight w:val="720"/>
        </w:trPr>
        <w:tc>
          <w:tcPr>
            <w:tcW w:w="3145" w:type="dxa"/>
            <w:noWrap/>
            <w:vAlign w:val="center"/>
            <w:hideMark/>
          </w:tcPr>
          <w:p w14:paraId="7AC69F42" w14:textId="77777777" w:rsidR="00284C18" w:rsidRPr="004478AF" w:rsidRDefault="00284C18" w:rsidP="00284C18">
            <w:pPr>
              <w:pStyle w:val="TableParagraph"/>
            </w:pPr>
            <w:r w:rsidRPr="004478AF">
              <w:t>Longview Fibre Paper and Packaging, Inc.</w:t>
            </w:r>
          </w:p>
        </w:tc>
        <w:tc>
          <w:tcPr>
            <w:tcW w:w="1098" w:type="dxa"/>
            <w:vAlign w:val="center"/>
          </w:tcPr>
          <w:p w14:paraId="03F3BBB9" w14:textId="021A6C0E" w:rsidR="00284C18" w:rsidRPr="004478AF" w:rsidRDefault="00284C18" w:rsidP="00284C18">
            <w:pPr>
              <w:pStyle w:val="TableParagraph"/>
            </w:pPr>
            <w:r w:rsidRPr="004478AF">
              <w:t>1574.2</w:t>
            </w:r>
          </w:p>
        </w:tc>
        <w:tc>
          <w:tcPr>
            <w:tcW w:w="1098" w:type="dxa"/>
            <w:noWrap/>
            <w:vAlign w:val="center"/>
            <w:hideMark/>
          </w:tcPr>
          <w:p w14:paraId="30D8A83B" w14:textId="043BC4A6" w:rsidR="00284C18" w:rsidRPr="004478AF" w:rsidRDefault="00284C18" w:rsidP="00284C18">
            <w:pPr>
              <w:pStyle w:val="TableParagraph"/>
            </w:pPr>
            <w:r w:rsidRPr="004478AF">
              <w:t>100.7</w:t>
            </w:r>
          </w:p>
        </w:tc>
        <w:tc>
          <w:tcPr>
            <w:tcW w:w="810" w:type="dxa"/>
            <w:noWrap/>
            <w:vAlign w:val="center"/>
            <w:hideMark/>
          </w:tcPr>
          <w:p w14:paraId="4C8B7055" w14:textId="77777777" w:rsidR="00284C18" w:rsidRPr="004478AF" w:rsidRDefault="00284C18" w:rsidP="00284C18">
            <w:pPr>
              <w:pStyle w:val="TableParagraph"/>
            </w:pPr>
            <w:r w:rsidRPr="004478AF">
              <w:t>15.6</w:t>
            </w:r>
          </w:p>
        </w:tc>
        <w:tc>
          <w:tcPr>
            <w:tcW w:w="2790" w:type="dxa"/>
            <w:noWrap/>
            <w:vAlign w:val="center"/>
            <w:hideMark/>
          </w:tcPr>
          <w:p w14:paraId="1C613C3C" w14:textId="77777777" w:rsidR="00284C18" w:rsidRPr="004478AF" w:rsidRDefault="00284C18" w:rsidP="00284C18">
            <w:pPr>
              <w:pStyle w:val="TableParagraph"/>
            </w:pPr>
            <w:r w:rsidRPr="004478AF">
              <w:t>Mount Adams Wilderness</w:t>
            </w:r>
          </w:p>
        </w:tc>
        <w:tc>
          <w:tcPr>
            <w:tcW w:w="2700" w:type="dxa"/>
            <w:noWrap/>
            <w:vAlign w:val="center"/>
            <w:hideMark/>
          </w:tcPr>
          <w:p w14:paraId="59507B9F" w14:textId="77777777" w:rsidR="00284C18" w:rsidRPr="004478AF" w:rsidRDefault="00284C18" w:rsidP="00284C18">
            <w:pPr>
              <w:pStyle w:val="TableParagraph"/>
            </w:pPr>
            <w:r w:rsidRPr="004478AF">
              <w:t>Paperboard Mills</w:t>
            </w:r>
          </w:p>
        </w:tc>
        <w:tc>
          <w:tcPr>
            <w:tcW w:w="1260" w:type="dxa"/>
            <w:noWrap/>
            <w:vAlign w:val="center"/>
            <w:hideMark/>
          </w:tcPr>
          <w:p w14:paraId="7FA37AF1" w14:textId="77777777" w:rsidR="00284C18" w:rsidRPr="004478AF" w:rsidRDefault="00284C18" w:rsidP="00284C18">
            <w:pPr>
              <w:pStyle w:val="TableParagraph"/>
            </w:pPr>
            <w:r w:rsidRPr="004478AF">
              <w:t>Industrial</w:t>
            </w:r>
          </w:p>
        </w:tc>
      </w:tr>
      <w:tr w:rsidR="00284C18" w:rsidRPr="004478AF" w14:paraId="3DCBE514" w14:textId="77777777" w:rsidTr="00284C18">
        <w:trPr>
          <w:trHeight w:val="720"/>
        </w:trPr>
        <w:tc>
          <w:tcPr>
            <w:tcW w:w="3145" w:type="dxa"/>
            <w:noWrap/>
            <w:vAlign w:val="center"/>
            <w:hideMark/>
          </w:tcPr>
          <w:p w14:paraId="36C17995" w14:textId="77777777" w:rsidR="00284C18" w:rsidRPr="004478AF" w:rsidRDefault="00284C18" w:rsidP="00284C18">
            <w:pPr>
              <w:pStyle w:val="TableParagraph"/>
            </w:pPr>
            <w:r w:rsidRPr="004478AF">
              <w:t>Georgia-Pacific Consumer Products (Camas) LLC</w:t>
            </w:r>
          </w:p>
        </w:tc>
        <w:tc>
          <w:tcPr>
            <w:tcW w:w="1098" w:type="dxa"/>
            <w:vAlign w:val="center"/>
          </w:tcPr>
          <w:p w14:paraId="61946E92" w14:textId="4AB0093C" w:rsidR="00284C18" w:rsidRPr="004478AF" w:rsidRDefault="00284C18" w:rsidP="00284C18">
            <w:pPr>
              <w:pStyle w:val="TableParagraph"/>
            </w:pPr>
            <w:r w:rsidRPr="004478AF">
              <w:t>653.0</w:t>
            </w:r>
          </w:p>
        </w:tc>
        <w:tc>
          <w:tcPr>
            <w:tcW w:w="1098" w:type="dxa"/>
            <w:noWrap/>
            <w:vAlign w:val="center"/>
            <w:hideMark/>
          </w:tcPr>
          <w:p w14:paraId="37621C9A" w14:textId="54DDF1DC" w:rsidR="00284C18" w:rsidRPr="004478AF" w:rsidRDefault="00284C18" w:rsidP="00284C18">
            <w:pPr>
              <w:pStyle w:val="TableParagraph"/>
            </w:pPr>
            <w:r w:rsidRPr="004478AF">
              <w:t>45.4</w:t>
            </w:r>
          </w:p>
        </w:tc>
        <w:tc>
          <w:tcPr>
            <w:tcW w:w="810" w:type="dxa"/>
            <w:noWrap/>
            <w:vAlign w:val="center"/>
            <w:hideMark/>
          </w:tcPr>
          <w:p w14:paraId="1759F0E4" w14:textId="77777777" w:rsidR="00284C18" w:rsidRPr="004478AF" w:rsidRDefault="00284C18" w:rsidP="00284C18">
            <w:pPr>
              <w:pStyle w:val="TableParagraph"/>
            </w:pPr>
            <w:r w:rsidRPr="004478AF">
              <w:t>14.4</w:t>
            </w:r>
          </w:p>
        </w:tc>
        <w:tc>
          <w:tcPr>
            <w:tcW w:w="2790" w:type="dxa"/>
            <w:noWrap/>
            <w:vAlign w:val="center"/>
            <w:hideMark/>
          </w:tcPr>
          <w:p w14:paraId="707B0935" w14:textId="77777777" w:rsidR="00284C18" w:rsidRPr="004478AF" w:rsidRDefault="00284C18" w:rsidP="00284C18">
            <w:pPr>
              <w:pStyle w:val="TableParagraph"/>
            </w:pPr>
            <w:r w:rsidRPr="004478AF">
              <w:t>Mount Hood Wilderness</w:t>
            </w:r>
          </w:p>
        </w:tc>
        <w:tc>
          <w:tcPr>
            <w:tcW w:w="2700" w:type="dxa"/>
            <w:noWrap/>
            <w:vAlign w:val="center"/>
            <w:hideMark/>
          </w:tcPr>
          <w:p w14:paraId="3B1D20CD" w14:textId="77777777" w:rsidR="00284C18" w:rsidRPr="004478AF" w:rsidRDefault="00284C18" w:rsidP="00284C18">
            <w:pPr>
              <w:pStyle w:val="TableParagraph"/>
            </w:pPr>
            <w:r w:rsidRPr="004478AF">
              <w:t>Paper (except Newsprint) Mills</w:t>
            </w:r>
          </w:p>
        </w:tc>
        <w:tc>
          <w:tcPr>
            <w:tcW w:w="1260" w:type="dxa"/>
            <w:noWrap/>
            <w:vAlign w:val="center"/>
            <w:hideMark/>
          </w:tcPr>
          <w:p w14:paraId="67803DB3" w14:textId="77777777" w:rsidR="00284C18" w:rsidRPr="004478AF" w:rsidRDefault="00284C18" w:rsidP="00284C18">
            <w:pPr>
              <w:pStyle w:val="TableParagraph"/>
            </w:pPr>
            <w:r w:rsidRPr="004478AF">
              <w:t>Industrial</w:t>
            </w:r>
          </w:p>
        </w:tc>
      </w:tr>
      <w:tr w:rsidR="00284C18" w:rsidRPr="004478AF" w14:paraId="5587CE13" w14:textId="77777777" w:rsidTr="00284C18">
        <w:trPr>
          <w:trHeight w:val="720"/>
        </w:trPr>
        <w:tc>
          <w:tcPr>
            <w:tcW w:w="3145" w:type="dxa"/>
            <w:noWrap/>
            <w:vAlign w:val="center"/>
            <w:hideMark/>
          </w:tcPr>
          <w:p w14:paraId="521FFD11" w14:textId="77777777" w:rsidR="00284C18" w:rsidRPr="004478AF" w:rsidRDefault="00284C18" w:rsidP="00284C18">
            <w:pPr>
              <w:pStyle w:val="TableParagraph"/>
            </w:pPr>
            <w:r w:rsidRPr="004478AF">
              <w:t>Phillips 66</w:t>
            </w:r>
          </w:p>
        </w:tc>
        <w:tc>
          <w:tcPr>
            <w:tcW w:w="1098" w:type="dxa"/>
            <w:vAlign w:val="center"/>
          </w:tcPr>
          <w:p w14:paraId="7507A3C1" w14:textId="5E5F2CD2" w:rsidR="00284C18" w:rsidRPr="004478AF" w:rsidRDefault="00284C18" w:rsidP="00284C18">
            <w:pPr>
              <w:pStyle w:val="TableParagraph"/>
            </w:pPr>
            <w:r w:rsidRPr="004478AF">
              <w:t>840.6</w:t>
            </w:r>
          </w:p>
        </w:tc>
        <w:tc>
          <w:tcPr>
            <w:tcW w:w="1098" w:type="dxa"/>
            <w:noWrap/>
            <w:vAlign w:val="center"/>
            <w:hideMark/>
          </w:tcPr>
          <w:p w14:paraId="303C55FC" w14:textId="1EBA8832" w:rsidR="00284C18" w:rsidRPr="004478AF" w:rsidRDefault="00284C18" w:rsidP="00284C18">
            <w:pPr>
              <w:pStyle w:val="TableParagraph"/>
            </w:pPr>
            <w:r w:rsidRPr="004478AF">
              <w:t>77.2</w:t>
            </w:r>
          </w:p>
        </w:tc>
        <w:tc>
          <w:tcPr>
            <w:tcW w:w="810" w:type="dxa"/>
            <w:noWrap/>
            <w:vAlign w:val="center"/>
            <w:hideMark/>
          </w:tcPr>
          <w:p w14:paraId="531502D8" w14:textId="77777777" w:rsidR="00284C18" w:rsidRPr="004478AF" w:rsidRDefault="00284C18" w:rsidP="00284C18">
            <w:pPr>
              <w:pStyle w:val="TableParagraph"/>
            </w:pPr>
            <w:r w:rsidRPr="004478AF">
              <w:t>10.9</w:t>
            </w:r>
          </w:p>
        </w:tc>
        <w:tc>
          <w:tcPr>
            <w:tcW w:w="2790" w:type="dxa"/>
            <w:noWrap/>
            <w:vAlign w:val="center"/>
            <w:hideMark/>
          </w:tcPr>
          <w:p w14:paraId="681B0989" w14:textId="77777777" w:rsidR="00284C18" w:rsidRPr="004478AF" w:rsidRDefault="00284C18" w:rsidP="00284C18">
            <w:pPr>
              <w:pStyle w:val="TableParagraph"/>
            </w:pPr>
            <w:r w:rsidRPr="004478AF">
              <w:t>North Cascades NP</w:t>
            </w:r>
          </w:p>
        </w:tc>
        <w:tc>
          <w:tcPr>
            <w:tcW w:w="2700" w:type="dxa"/>
            <w:noWrap/>
            <w:vAlign w:val="center"/>
            <w:hideMark/>
          </w:tcPr>
          <w:p w14:paraId="7049AA47" w14:textId="77777777" w:rsidR="00284C18" w:rsidRPr="004478AF" w:rsidRDefault="00284C18" w:rsidP="00284C18">
            <w:pPr>
              <w:pStyle w:val="TableParagraph"/>
            </w:pPr>
            <w:r w:rsidRPr="004478AF">
              <w:t>Petroleum Refineries</w:t>
            </w:r>
          </w:p>
        </w:tc>
        <w:tc>
          <w:tcPr>
            <w:tcW w:w="1260" w:type="dxa"/>
            <w:noWrap/>
            <w:vAlign w:val="center"/>
            <w:hideMark/>
          </w:tcPr>
          <w:p w14:paraId="55165A01" w14:textId="77777777" w:rsidR="00284C18" w:rsidRPr="004478AF" w:rsidRDefault="00284C18" w:rsidP="00284C18">
            <w:pPr>
              <w:pStyle w:val="TableParagraph"/>
            </w:pPr>
            <w:r w:rsidRPr="004478AF">
              <w:t>NWCAA</w:t>
            </w:r>
          </w:p>
        </w:tc>
      </w:tr>
      <w:tr w:rsidR="00284C18" w:rsidRPr="004478AF" w14:paraId="3A5C77B4" w14:textId="77777777" w:rsidTr="00284C18">
        <w:trPr>
          <w:trHeight w:val="720"/>
        </w:trPr>
        <w:tc>
          <w:tcPr>
            <w:tcW w:w="3145" w:type="dxa"/>
            <w:noWrap/>
            <w:vAlign w:val="center"/>
            <w:hideMark/>
          </w:tcPr>
          <w:p w14:paraId="55F99674" w14:textId="77777777" w:rsidR="00284C18" w:rsidRPr="004478AF" w:rsidRDefault="00284C18" w:rsidP="00284C18">
            <w:pPr>
              <w:pStyle w:val="TableParagraph"/>
            </w:pPr>
            <w:r w:rsidRPr="004478AF">
              <w:t>Cardinal FG Winlock</w:t>
            </w:r>
          </w:p>
        </w:tc>
        <w:tc>
          <w:tcPr>
            <w:tcW w:w="1098" w:type="dxa"/>
            <w:vAlign w:val="center"/>
          </w:tcPr>
          <w:p w14:paraId="0DF1B64C" w14:textId="044765F6" w:rsidR="00284C18" w:rsidRPr="004478AF" w:rsidRDefault="00284C18" w:rsidP="00284C18">
            <w:pPr>
              <w:pStyle w:val="TableParagraph"/>
            </w:pPr>
            <w:r w:rsidRPr="004478AF">
              <w:t>859.8</w:t>
            </w:r>
          </w:p>
        </w:tc>
        <w:tc>
          <w:tcPr>
            <w:tcW w:w="1098" w:type="dxa"/>
            <w:noWrap/>
            <w:vAlign w:val="center"/>
            <w:hideMark/>
          </w:tcPr>
          <w:p w14:paraId="630DBB07" w14:textId="1EC8870D" w:rsidR="00284C18" w:rsidRPr="004478AF" w:rsidRDefault="00284C18" w:rsidP="00284C18">
            <w:pPr>
              <w:pStyle w:val="TableParagraph"/>
            </w:pPr>
            <w:r w:rsidRPr="004478AF">
              <w:t>80.1</w:t>
            </w:r>
          </w:p>
        </w:tc>
        <w:tc>
          <w:tcPr>
            <w:tcW w:w="810" w:type="dxa"/>
            <w:noWrap/>
            <w:vAlign w:val="center"/>
            <w:hideMark/>
          </w:tcPr>
          <w:p w14:paraId="6F08AC6A" w14:textId="77777777" w:rsidR="00284C18" w:rsidRPr="004478AF" w:rsidRDefault="00284C18" w:rsidP="00284C18">
            <w:pPr>
              <w:pStyle w:val="TableParagraph"/>
            </w:pPr>
            <w:r w:rsidRPr="004478AF">
              <w:t>10.7</w:t>
            </w:r>
          </w:p>
        </w:tc>
        <w:tc>
          <w:tcPr>
            <w:tcW w:w="2790" w:type="dxa"/>
            <w:noWrap/>
            <w:vAlign w:val="center"/>
            <w:hideMark/>
          </w:tcPr>
          <w:p w14:paraId="3ACB5858" w14:textId="77777777" w:rsidR="00284C18" w:rsidRPr="004478AF" w:rsidRDefault="00284C18" w:rsidP="00284C18">
            <w:pPr>
              <w:pStyle w:val="TableParagraph"/>
            </w:pPr>
            <w:r w:rsidRPr="004478AF">
              <w:t>Mount Rainier NP</w:t>
            </w:r>
          </w:p>
        </w:tc>
        <w:tc>
          <w:tcPr>
            <w:tcW w:w="2700" w:type="dxa"/>
            <w:noWrap/>
            <w:vAlign w:val="center"/>
            <w:hideMark/>
          </w:tcPr>
          <w:p w14:paraId="2608E8EF" w14:textId="77777777" w:rsidR="00284C18" w:rsidRPr="004478AF" w:rsidRDefault="00284C18" w:rsidP="00284C18">
            <w:pPr>
              <w:pStyle w:val="TableParagraph"/>
            </w:pPr>
            <w:r w:rsidRPr="004478AF">
              <w:t>Flat Glass Manufacture</w:t>
            </w:r>
          </w:p>
        </w:tc>
        <w:tc>
          <w:tcPr>
            <w:tcW w:w="1260" w:type="dxa"/>
            <w:noWrap/>
            <w:vAlign w:val="center"/>
            <w:hideMark/>
          </w:tcPr>
          <w:p w14:paraId="3EDCDECF" w14:textId="77777777" w:rsidR="00284C18" w:rsidRPr="004478AF" w:rsidRDefault="00284C18" w:rsidP="00284C18">
            <w:pPr>
              <w:pStyle w:val="TableParagraph"/>
            </w:pPr>
            <w:r w:rsidRPr="004478AF">
              <w:t>SWCAA</w:t>
            </w:r>
          </w:p>
        </w:tc>
      </w:tr>
      <w:tr w:rsidR="00284C18" w:rsidRPr="004478AF" w14:paraId="385FF792" w14:textId="77777777" w:rsidTr="00284C18">
        <w:trPr>
          <w:trHeight w:val="720"/>
        </w:trPr>
        <w:tc>
          <w:tcPr>
            <w:tcW w:w="3145" w:type="dxa"/>
            <w:noWrap/>
            <w:vAlign w:val="center"/>
            <w:hideMark/>
          </w:tcPr>
          <w:p w14:paraId="0868F954" w14:textId="77777777" w:rsidR="00284C18" w:rsidRPr="004478AF" w:rsidRDefault="00284C18" w:rsidP="00284C18">
            <w:pPr>
              <w:pStyle w:val="TableParagraph"/>
            </w:pPr>
            <w:r w:rsidRPr="004478AF">
              <w:t>Boise Paper</w:t>
            </w:r>
          </w:p>
        </w:tc>
        <w:tc>
          <w:tcPr>
            <w:tcW w:w="1098" w:type="dxa"/>
            <w:vAlign w:val="center"/>
          </w:tcPr>
          <w:p w14:paraId="0B8AB36E" w14:textId="421F3089" w:rsidR="00284C18" w:rsidRPr="004478AF" w:rsidRDefault="00284C18" w:rsidP="00284C18">
            <w:pPr>
              <w:pStyle w:val="TableParagraph"/>
            </w:pPr>
            <w:r w:rsidRPr="004478AF">
              <w:t>1048.3</w:t>
            </w:r>
          </w:p>
        </w:tc>
        <w:tc>
          <w:tcPr>
            <w:tcW w:w="1098" w:type="dxa"/>
            <w:noWrap/>
            <w:vAlign w:val="center"/>
            <w:hideMark/>
          </w:tcPr>
          <w:p w14:paraId="3E31C330" w14:textId="3FA3D762" w:rsidR="00284C18" w:rsidRPr="004478AF" w:rsidRDefault="00284C18" w:rsidP="00284C18">
            <w:pPr>
              <w:pStyle w:val="TableParagraph"/>
            </w:pPr>
            <w:r w:rsidRPr="004478AF">
              <w:t>111.5</w:t>
            </w:r>
          </w:p>
        </w:tc>
        <w:tc>
          <w:tcPr>
            <w:tcW w:w="810" w:type="dxa"/>
            <w:noWrap/>
            <w:vAlign w:val="center"/>
            <w:hideMark/>
          </w:tcPr>
          <w:p w14:paraId="79CE322D" w14:textId="77777777" w:rsidR="00284C18" w:rsidRPr="004478AF" w:rsidRDefault="00284C18" w:rsidP="00284C18">
            <w:pPr>
              <w:pStyle w:val="TableParagraph"/>
            </w:pPr>
            <w:r w:rsidRPr="004478AF">
              <w:t>9.4</w:t>
            </w:r>
          </w:p>
        </w:tc>
        <w:tc>
          <w:tcPr>
            <w:tcW w:w="2790" w:type="dxa"/>
            <w:noWrap/>
            <w:vAlign w:val="center"/>
            <w:hideMark/>
          </w:tcPr>
          <w:p w14:paraId="7667F1EA" w14:textId="77777777" w:rsidR="00284C18" w:rsidRPr="004478AF" w:rsidRDefault="00284C18" w:rsidP="00284C18">
            <w:pPr>
              <w:pStyle w:val="TableParagraph"/>
            </w:pPr>
            <w:r w:rsidRPr="004478AF">
              <w:t>Eagle Cap Wilderness</w:t>
            </w:r>
          </w:p>
        </w:tc>
        <w:tc>
          <w:tcPr>
            <w:tcW w:w="2700" w:type="dxa"/>
            <w:noWrap/>
            <w:vAlign w:val="center"/>
            <w:hideMark/>
          </w:tcPr>
          <w:p w14:paraId="0CB88ABB" w14:textId="77777777" w:rsidR="00284C18" w:rsidRPr="004478AF" w:rsidRDefault="00284C18" w:rsidP="00284C18">
            <w:pPr>
              <w:pStyle w:val="TableParagraph"/>
            </w:pPr>
            <w:r w:rsidRPr="004478AF">
              <w:t>Paperboard Mills</w:t>
            </w:r>
          </w:p>
        </w:tc>
        <w:tc>
          <w:tcPr>
            <w:tcW w:w="1260" w:type="dxa"/>
            <w:noWrap/>
            <w:vAlign w:val="center"/>
            <w:hideMark/>
          </w:tcPr>
          <w:p w14:paraId="1EAEF0FE" w14:textId="77777777" w:rsidR="00284C18" w:rsidRPr="004478AF" w:rsidRDefault="00284C18" w:rsidP="00284C18">
            <w:pPr>
              <w:pStyle w:val="TableParagraph"/>
            </w:pPr>
            <w:r w:rsidRPr="004478AF">
              <w:t>Industrial</w:t>
            </w:r>
          </w:p>
        </w:tc>
      </w:tr>
      <w:tr w:rsidR="00284C18" w:rsidRPr="004478AF" w14:paraId="252DE229" w14:textId="77777777" w:rsidTr="00284C18">
        <w:trPr>
          <w:trHeight w:val="720"/>
        </w:trPr>
        <w:tc>
          <w:tcPr>
            <w:tcW w:w="3145" w:type="dxa"/>
            <w:noWrap/>
            <w:vAlign w:val="center"/>
            <w:hideMark/>
          </w:tcPr>
          <w:p w14:paraId="54A977D3" w14:textId="77777777" w:rsidR="00284C18" w:rsidRPr="004478AF" w:rsidRDefault="00284C18" w:rsidP="00284C18">
            <w:pPr>
              <w:pStyle w:val="TableParagraph"/>
            </w:pPr>
            <w:r w:rsidRPr="004478AF">
              <w:t>US Oil &amp; Refining Co</w:t>
            </w:r>
          </w:p>
        </w:tc>
        <w:tc>
          <w:tcPr>
            <w:tcW w:w="1098" w:type="dxa"/>
            <w:vAlign w:val="center"/>
          </w:tcPr>
          <w:p w14:paraId="60F647C0" w14:textId="4195CB04" w:rsidR="00284C18" w:rsidRPr="004478AF" w:rsidRDefault="00284C18" w:rsidP="00284C18">
            <w:pPr>
              <w:pStyle w:val="TableParagraph"/>
            </w:pPr>
            <w:r w:rsidRPr="004478AF">
              <w:t>149.2</w:t>
            </w:r>
          </w:p>
        </w:tc>
        <w:tc>
          <w:tcPr>
            <w:tcW w:w="1098" w:type="dxa"/>
            <w:noWrap/>
            <w:vAlign w:val="center"/>
            <w:hideMark/>
          </w:tcPr>
          <w:p w14:paraId="0466C70D" w14:textId="491C625C" w:rsidR="00284C18" w:rsidRPr="004478AF" w:rsidRDefault="00284C18" w:rsidP="00284C18">
            <w:pPr>
              <w:pStyle w:val="TableParagraph"/>
            </w:pPr>
            <w:r w:rsidRPr="004478AF">
              <w:t>46.4</w:t>
            </w:r>
          </w:p>
        </w:tc>
        <w:tc>
          <w:tcPr>
            <w:tcW w:w="810" w:type="dxa"/>
            <w:noWrap/>
            <w:vAlign w:val="center"/>
            <w:hideMark/>
          </w:tcPr>
          <w:p w14:paraId="6BC77644" w14:textId="77777777" w:rsidR="00284C18" w:rsidRPr="004478AF" w:rsidRDefault="00284C18" w:rsidP="00284C18">
            <w:pPr>
              <w:pStyle w:val="TableParagraph"/>
            </w:pPr>
            <w:r w:rsidRPr="004478AF">
              <w:t>3.2</w:t>
            </w:r>
          </w:p>
        </w:tc>
        <w:tc>
          <w:tcPr>
            <w:tcW w:w="2790" w:type="dxa"/>
            <w:noWrap/>
            <w:vAlign w:val="center"/>
            <w:hideMark/>
          </w:tcPr>
          <w:p w14:paraId="5E10F222" w14:textId="77777777" w:rsidR="00284C18" w:rsidRPr="004478AF" w:rsidRDefault="00284C18" w:rsidP="00284C18">
            <w:pPr>
              <w:pStyle w:val="TableParagraph"/>
            </w:pPr>
            <w:r w:rsidRPr="004478AF">
              <w:t>Mount Rainier NP</w:t>
            </w:r>
          </w:p>
        </w:tc>
        <w:tc>
          <w:tcPr>
            <w:tcW w:w="2700" w:type="dxa"/>
            <w:noWrap/>
            <w:vAlign w:val="center"/>
            <w:hideMark/>
          </w:tcPr>
          <w:p w14:paraId="4B25DDB0" w14:textId="77777777" w:rsidR="00284C18" w:rsidRPr="004478AF" w:rsidRDefault="00284C18" w:rsidP="00284C18">
            <w:pPr>
              <w:pStyle w:val="TableParagraph"/>
            </w:pPr>
            <w:r w:rsidRPr="004478AF">
              <w:t>Oil Refinery</w:t>
            </w:r>
          </w:p>
        </w:tc>
        <w:tc>
          <w:tcPr>
            <w:tcW w:w="1260" w:type="dxa"/>
            <w:noWrap/>
            <w:vAlign w:val="center"/>
            <w:hideMark/>
          </w:tcPr>
          <w:p w14:paraId="06B692E4" w14:textId="77777777" w:rsidR="00284C18" w:rsidRPr="004478AF" w:rsidRDefault="00284C18" w:rsidP="00284C18">
            <w:pPr>
              <w:pStyle w:val="TableParagraph"/>
            </w:pPr>
            <w:r w:rsidRPr="004478AF">
              <w:t>PSCAA</w:t>
            </w:r>
          </w:p>
        </w:tc>
      </w:tr>
      <w:tr w:rsidR="00284C18" w:rsidRPr="004478AF" w14:paraId="45A13C5A" w14:textId="77777777" w:rsidTr="00284C18">
        <w:trPr>
          <w:trHeight w:val="720"/>
        </w:trPr>
        <w:tc>
          <w:tcPr>
            <w:tcW w:w="3145" w:type="dxa"/>
            <w:noWrap/>
            <w:vAlign w:val="center"/>
            <w:hideMark/>
          </w:tcPr>
          <w:p w14:paraId="6C4A149C" w14:textId="77777777" w:rsidR="00284C18" w:rsidRPr="004478AF" w:rsidRDefault="00284C18" w:rsidP="00284C18">
            <w:pPr>
              <w:pStyle w:val="TableParagraph"/>
            </w:pPr>
            <w:r w:rsidRPr="004478AF">
              <w:t>Total</w:t>
            </w:r>
          </w:p>
        </w:tc>
        <w:tc>
          <w:tcPr>
            <w:tcW w:w="1098" w:type="dxa"/>
            <w:vAlign w:val="center"/>
          </w:tcPr>
          <w:p w14:paraId="6B9A05F6" w14:textId="2A9A2ABA" w:rsidR="00284C18" w:rsidRPr="004478AF" w:rsidRDefault="00284C18" w:rsidP="00284C18">
            <w:pPr>
              <w:pStyle w:val="TableParagraph"/>
            </w:pPr>
            <w:r w:rsidRPr="004478AF">
              <w:t>39487.5</w:t>
            </w:r>
          </w:p>
        </w:tc>
        <w:tc>
          <w:tcPr>
            <w:tcW w:w="1098" w:type="dxa"/>
            <w:noWrap/>
            <w:vAlign w:val="center"/>
            <w:hideMark/>
          </w:tcPr>
          <w:p w14:paraId="71059D14" w14:textId="03A8538D" w:rsidR="00284C18" w:rsidRPr="004478AF" w:rsidRDefault="00284C18" w:rsidP="00284C18">
            <w:pPr>
              <w:pStyle w:val="TableParagraph"/>
            </w:pPr>
          </w:p>
        </w:tc>
        <w:tc>
          <w:tcPr>
            <w:tcW w:w="810" w:type="dxa"/>
            <w:noWrap/>
            <w:vAlign w:val="center"/>
            <w:hideMark/>
          </w:tcPr>
          <w:p w14:paraId="54843C11" w14:textId="77777777" w:rsidR="00284C18" w:rsidRPr="004478AF" w:rsidRDefault="00284C18" w:rsidP="00284C18">
            <w:pPr>
              <w:pStyle w:val="TableParagraph"/>
            </w:pPr>
            <w:r w:rsidRPr="004478AF">
              <w:t>658.7</w:t>
            </w:r>
          </w:p>
        </w:tc>
        <w:tc>
          <w:tcPr>
            <w:tcW w:w="2790" w:type="dxa"/>
            <w:noWrap/>
            <w:vAlign w:val="center"/>
            <w:hideMark/>
          </w:tcPr>
          <w:p w14:paraId="700128B9" w14:textId="77777777" w:rsidR="00284C18" w:rsidRPr="004478AF" w:rsidRDefault="00284C18" w:rsidP="00284C18">
            <w:pPr>
              <w:pStyle w:val="TableParagraph"/>
            </w:pPr>
          </w:p>
        </w:tc>
        <w:tc>
          <w:tcPr>
            <w:tcW w:w="2700" w:type="dxa"/>
            <w:noWrap/>
            <w:vAlign w:val="center"/>
            <w:hideMark/>
          </w:tcPr>
          <w:p w14:paraId="77842529" w14:textId="77777777" w:rsidR="00284C18" w:rsidRPr="004478AF" w:rsidRDefault="00284C18" w:rsidP="00284C18">
            <w:pPr>
              <w:pStyle w:val="TableParagraph"/>
            </w:pPr>
          </w:p>
        </w:tc>
        <w:tc>
          <w:tcPr>
            <w:tcW w:w="1260" w:type="dxa"/>
            <w:noWrap/>
            <w:vAlign w:val="center"/>
            <w:hideMark/>
          </w:tcPr>
          <w:p w14:paraId="23927BB9" w14:textId="77777777" w:rsidR="00284C18" w:rsidRPr="004478AF" w:rsidRDefault="00284C18" w:rsidP="00284C18">
            <w:pPr>
              <w:pStyle w:val="TableParagraph"/>
              <w:keepNext/>
            </w:pPr>
          </w:p>
        </w:tc>
      </w:tr>
    </w:tbl>
    <w:p w14:paraId="3329166D" w14:textId="00141240" w:rsidR="0068711A" w:rsidRDefault="0068711A" w:rsidP="00F00714">
      <w:pPr>
        <w:pStyle w:val="Caption"/>
        <w:sectPr w:rsidR="0068711A" w:rsidSect="00FF4355">
          <w:pgSz w:w="15840" w:h="12240" w:orient="landscape"/>
          <w:pgMar w:top="1440" w:right="1440" w:bottom="1440" w:left="1440" w:header="720" w:footer="720" w:gutter="0"/>
          <w:cols w:space="720"/>
          <w:docGrid w:linePitch="360"/>
        </w:sectPr>
      </w:pPr>
    </w:p>
    <w:p w14:paraId="4A4E1E73" w14:textId="1BB895C6" w:rsidR="007A2B67" w:rsidRDefault="007A2B67" w:rsidP="007A2B67">
      <w:pPr>
        <w:pStyle w:val="Heading4"/>
      </w:pPr>
      <w:bookmarkStart w:id="27" w:name="_Toc49523830"/>
      <w:bookmarkStart w:id="28" w:name="_Toc49863851"/>
      <w:bookmarkStart w:id="29" w:name="_Toc51673343"/>
      <w:bookmarkStart w:id="30" w:name="_Toc51674399"/>
      <w:r>
        <w:lastRenderedPageBreak/>
        <w:t>Requests</w:t>
      </w:r>
      <w:r w:rsidR="002D37B5">
        <w:t>/contact with f</w:t>
      </w:r>
      <w:r w:rsidR="005A6FD4">
        <w:t>acilities</w:t>
      </w:r>
      <w:bookmarkEnd w:id="27"/>
      <w:bookmarkEnd w:id="28"/>
      <w:bookmarkEnd w:id="29"/>
      <w:bookmarkEnd w:id="30"/>
    </w:p>
    <w:p w14:paraId="31F30D3A" w14:textId="7397658D" w:rsidR="005A6FD4" w:rsidRPr="007A4AD8" w:rsidRDefault="00427D3A" w:rsidP="00062F58">
      <w:pPr>
        <w:pStyle w:val="Paragraph"/>
        <w:rPr>
          <w:shd w:val="clear" w:color="auto" w:fill="auto"/>
        </w:rPr>
      </w:pPr>
      <w:r>
        <w:rPr>
          <w:shd w:val="clear" w:color="auto" w:fill="auto"/>
        </w:rPr>
        <w:t>Ecology</w:t>
      </w:r>
      <w:r w:rsidR="005A6FD4" w:rsidRPr="007A4AD8">
        <w:rPr>
          <w:shd w:val="clear" w:color="auto" w:fill="auto"/>
        </w:rPr>
        <w:t xml:space="preserve"> contacted</w:t>
      </w:r>
      <w:r>
        <w:rPr>
          <w:shd w:val="clear" w:color="auto" w:fill="auto"/>
        </w:rPr>
        <w:t xml:space="preserve"> the facilities selected for FFA</w:t>
      </w:r>
      <w:r w:rsidR="005A6FD4" w:rsidRPr="007A4AD8">
        <w:rPr>
          <w:shd w:val="clear" w:color="auto" w:fill="auto"/>
        </w:rPr>
        <w:t xml:space="preserve"> in </w:t>
      </w:r>
      <w:r w:rsidR="00AB4946">
        <w:rPr>
          <w:shd w:val="clear" w:color="auto" w:fill="auto"/>
        </w:rPr>
        <w:t xml:space="preserve">Spring of </w:t>
      </w:r>
      <w:r w:rsidR="005A6FD4" w:rsidRPr="007A4AD8">
        <w:rPr>
          <w:shd w:val="clear" w:color="auto" w:fill="auto"/>
        </w:rPr>
        <w:t>2019</w:t>
      </w:r>
      <w:r w:rsidR="004611BF">
        <w:rPr>
          <w:shd w:val="clear" w:color="auto" w:fill="auto"/>
        </w:rPr>
        <w:t>,</w:t>
      </w:r>
      <w:r w:rsidR="005A6FD4" w:rsidRPr="007A4AD8">
        <w:rPr>
          <w:shd w:val="clear" w:color="auto" w:fill="auto"/>
        </w:rPr>
        <w:t xml:space="preserve"> </w:t>
      </w:r>
      <w:r w:rsidR="00981C96" w:rsidRPr="007A4AD8">
        <w:rPr>
          <w:shd w:val="clear" w:color="auto" w:fill="auto"/>
        </w:rPr>
        <w:t xml:space="preserve">informing them that </w:t>
      </w:r>
      <w:r w:rsidR="00C75834">
        <w:rPr>
          <w:shd w:val="clear" w:color="auto" w:fill="auto"/>
        </w:rPr>
        <w:t>we had selected them</w:t>
      </w:r>
      <w:r w:rsidR="00981C96" w:rsidRPr="007A4AD8">
        <w:rPr>
          <w:shd w:val="clear" w:color="auto" w:fill="auto"/>
        </w:rPr>
        <w:t xml:space="preserve"> for additional RH emission considerations (</w:t>
      </w:r>
      <w:r w:rsidR="00981C96" w:rsidRPr="002E6A90">
        <w:rPr>
          <w:highlight w:val="yellow"/>
          <w:shd w:val="clear" w:color="auto" w:fill="auto"/>
        </w:rPr>
        <w:t>see Appendix XX</w:t>
      </w:r>
      <w:r w:rsidR="00981C96" w:rsidRPr="007A4AD8">
        <w:rPr>
          <w:shd w:val="clear" w:color="auto" w:fill="auto"/>
        </w:rPr>
        <w:t xml:space="preserve">). </w:t>
      </w:r>
      <w:r w:rsidR="00864338">
        <w:rPr>
          <w:shd w:val="clear" w:color="auto" w:fill="auto"/>
        </w:rPr>
        <w:t>S</w:t>
      </w:r>
      <w:r w:rsidR="00981C96" w:rsidRPr="007A4AD8">
        <w:rPr>
          <w:shd w:val="clear" w:color="auto" w:fill="auto"/>
        </w:rPr>
        <w:t xml:space="preserve">ome </w:t>
      </w:r>
      <w:r w:rsidR="00864338">
        <w:rPr>
          <w:shd w:val="clear" w:color="auto" w:fill="auto"/>
        </w:rPr>
        <w:t xml:space="preserve">of these </w:t>
      </w:r>
      <w:r w:rsidR="00981C96" w:rsidRPr="007A4AD8">
        <w:rPr>
          <w:shd w:val="clear" w:color="auto" w:fill="auto"/>
        </w:rPr>
        <w:t xml:space="preserve">facilities had </w:t>
      </w:r>
      <w:r w:rsidR="007A4E37">
        <w:rPr>
          <w:shd w:val="clear" w:color="auto" w:fill="auto"/>
        </w:rPr>
        <w:t xml:space="preserve">existing </w:t>
      </w:r>
      <w:r w:rsidR="00864338">
        <w:rPr>
          <w:shd w:val="clear" w:color="auto" w:fill="auto"/>
        </w:rPr>
        <w:t xml:space="preserve">legal </w:t>
      </w:r>
      <w:r w:rsidR="00A1442B">
        <w:rPr>
          <w:shd w:val="clear" w:color="auto" w:fill="auto"/>
        </w:rPr>
        <w:t xml:space="preserve">requirements or </w:t>
      </w:r>
      <w:r w:rsidR="00864338">
        <w:rPr>
          <w:shd w:val="clear" w:color="auto" w:fill="auto"/>
        </w:rPr>
        <w:t xml:space="preserve">pending permit actions </w:t>
      </w:r>
      <w:r w:rsidR="00086413">
        <w:rPr>
          <w:shd w:val="clear" w:color="auto" w:fill="auto"/>
        </w:rPr>
        <w:t>to reduce</w:t>
      </w:r>
      <w:r w:rsidR="00A1442B">
        <w:rPr>
          <w:shd w:val="clear" w:color="auto" w:fill="auto"/>
        </w:rPr>
        <w:t xml:space="preserve"> emissions</w:t>
      </w:r>
      <w:r w:rsidR="00864338">
        <w:rPr>
          <w:shd w:val="clear" w:color="auto" w:fill="auto"/>
        </w:rPr>
        <w:t xml:space="preserve">, therefore Ecology </w:t>
      </w:r>
      <w:r w:rsidR="00981C96" w:rsidRPr="007A4AD8">
        <w:rPr>
          <w:shd w:val="clear" w:color="auto" w:fill="auto"/>
        </w:rPr>
        <w:t>did not request a FFA from them.</w:t>
      </w:r>
      <w:r w:rsidR="00864338">
        <w:rPr>
          <w:shd w:val="clear" w:color="auto" w:fill="auto"/>
        </w:rPr>
        <w:t xml:space="preserve"> </w:t>
      </w:r>
      <w:r w:rsidR="00C75834">
        <w:rPr>
          <w:shd w:val="clear" w:color="auto" w:fill="auto"/>
        </w:rPr>
        <w:t xml:space="preserve">We requested by letter that </w:t>
      </w:r>
      <w:r w:rsidR="00DA5A70">
        <w:rPr>
          <w:shd w:val="clear" w:color="auto" w:fill="auto"/>
        </w:rPr>
        <w:t xml:space="preserve">facilities in </w:t>
      </w:r>
      <w:r w:rsidR="00C75834">
        <w:rPr>
          <w:shd w:val="clear" w:color="auto" w:fill="auto"/>
        </w:rPr>
        <w:t>t</w:t>
      </w:r>
      <w:r w:rsidR="00981C96" w:rsidRPr="007A4AD8">
        <w:rPr>
          <w:shd w:val="clear" w:color="auto" w:fill="auto"/>
        </w:rPr>
        <w:t>he pulp and paper and the refinery source categories</w:t>
      </w:r>
      <w:r w:rsidR="00E02730">
        <w:rPr>
          <w:shd w:val="clear" w:color="auto" w:fill="auto"/>
        </w:rPr>
        <w:t xml:space="preserve"> </w:t>
      </w:r>
      <w:r w:rsidR="00981C96" w:rsidRPr="007A4AD8">
        <w:rPr>
          <w:shd w:val="clear" w:color="auto" w:fill="auto"/>
        </w:rPr>
        <w:t>perform a</w:t>
      </w:r>
      <w:r w:rsidR="00C75834">
        <w:rPr>
          <w:shd w:val="clear" w:color="auto" w:fill="auto"/>
        </w:rPr>
        <w:t>n</w:t>
      </w:r>
      <w:r w:rsidR="00981C96" w:rsidRPr="007A4AD8">
        <w:rPr>
          <w:shd w:val="clear" w:color="auto" w:fill="auto"/>
        </w:rPr>
        <w:t xml:space="preserve"> FFA and provide the results to Ecology.</w:t>
      </w:r>
    </w:p>
    <w:p w14:paraId="544F2FAE" w14:textId="10FBE46A" w:rsidR="00594E6C" w:rsidRDefault="002D37B5" w:rsidP="00594E6C">
      <w:pPr>
        <w:pStyle w:val="Heading3"/>
      </w:pPr>
      <w:bookmarkStart w:id="31" w:name="_Toc49523831"/>
      <w:bookmarkStart w:id="32" w:name="_Toc49863852"/>
      <w:bookmarkStart w:id="33" w:name="_Toc51673344"/>
      <w:bookmarkStart w:id="34" w:name="_Toc51674400"/>
      <w:r>
        <w:t>Facility s</w:t>
      </w:r>
      <w:r w:rsidR="00594E6C">
        <w:t>pecific FFA</w:t>
      </w:r>
      <w:r>
        <w:t>s</w:t>
      </w:r>
      <w:bookmarkEnd w:id="31"/>
      <w:bookmarkEnd w:id="32"/>
      <w:bookmarkEnd w:id="33"/>
      <w:bookmarkEnd w:id="34"/>
    </w:p>
    <w:p w14:paraId="7CE4F63B" w14:textId="256AB316" w:rsidR="00981C96" w:rsidRPr="00D41793" w:rsidRDefault="00981C96" w:rsidP="00062F58">
      <w:pPr>
        <w:pStyle w:val="Paragraph"/>
      </w:pPr>
      <w:r w:rsidRPr="00D41793">
        <w:t xml:space="preserve">The following sections contain the </w:t>
      </w:r>
      <w:r w:rsidR="00594E6C" w:rsidRPr="00D41793">
        <w:t xml:space="preserve">facility specific </w:t>
      </w:r>
      <w:r w:rsidRPr="00D41793">
        <w:t>FFA information and Ecology’</w:t>
      </w:r>
      <w:r w:rsidR="00D12559">
        <w:t>s</w:t>
      </w:r>
      <w:r w:rsidRPr="00D41793">
        <w:t xml:space="preserve"> </w:t>
      </w:r>
      <w:r w:rsidR="006E7A14">
        <w:t>preliminary recommendation regarding additional emission controls.</w:t>
      </w:r>
    </w:p>
    <w:p w14:paraId="76C73555" w14:textId="7780DC30" w:rsidR="000231F9" w:rsidRPr="00D41793" w:rsidRDefault="0083751B" w:rsidP="007A27BE">
      <w:pPr>
        <w:pStyle w:val="Heading4"/>
        <w:rPr>
          <w:shd w:val="clear" w:color="auto" w:fill="FFFFFF"/>
        </w:rPr>
      </w:pPr>
      <w:bookmarkStart w:id="35" w:name="_Toc49523832"/>
      <w:bookmarkStart w:id="36" w:name="_Toc49863853"/>
      <w:bookmarkStart w:id="37" w:name="_Toc51673345"/>
      <w:bookmarkStart w:id="38" w:name="_Toc51674401"/>
      <w:r w:rsidRPr="00D41793">
        <w:rPr>
          <w:shd w:val="clear" w:color="auto" w:fill="FFFFFF"/>
        </w:rPr>
        <w:t>Ash Grove Cement Company</w:t>
      </w:r>
      <w:bookmarkEnd w:id="35"/>
      <w:bookmarkEnd w:id="36"/>
      <w:bookmarkEnd w:id="37"/>
      <w:bookmarkEnd w:id="38"/>
    </w:p>
    <w:p w14:paraId="5356007A" w14:textId="03D72AB2" w:rsidR="0083751B" w:rsidRPr="00D41793" w:rsidRDefault="0083751B" w:rsidP="00062F58">
      <w:pPr>
        <w:pStyle w:val="Paragraph"/>
      </w:pPr>
      <w:r w:rsidRPr="00D41793">
        <w:t xml:space="preserve">Ash Grove Cement Company (Ash Grove) operates a </w:t>
      </w:r>
      <w:r w:rsidR="00535AD9" w:rsidRPr="00D41793">
        <w:t>dry</w:t>
      </w:r>
      <w:r w:rsidRPr="00D41793">
        <w:t xml:space="preserve"> process cement kiln in the Duwamish Industrial area of Seattle.</w:t>
      </w:r>
      <w:r w:rsidR="009932BF">
        <w:t xml:space="preserve"> </w:t>
      </w:r>
      <w:r w:rsidRPr="00D41793">
        <w:t xml:space="preserve">The primary </w:t>
      </w:r>
      <w:r w:rsidR="00C67AFF">
        <w:t>RH</w:t>
      </w:r>
      <w:r w:rsidRPr="00D41793">
        <w:t xml:space="preserve"> contributing emissions at the plant come from the cement kiln and its associated clinker cooler baghouses.</w:t>
      </w:r>
      <w:r w:rsidR="006D55F1">
        <w:t xml:space="preserve"> Clinker is an intermediate product in cement production.</w:t>
      </w:r>
    </w:p>
    <w:p w14:paraId="255D393D" w14:textId="342BD4F7" w:rsidR="0083751B" w:rsidRPr="00D41793" w:rsidRDefault="0083751B" w:rsidP="00062F58">
      <w:pPr>
        <w:pStyle w:val="Paragraph"/>
      </w:pPr>
      <w:r w:rsidRPr="00D41793">
        <w:t>The existing particulate controls installed at the plant</w:t>
      </w:r>
      <w:r w:rsidR="00A221AD" w:rsidRPr="00D41793">
        <w:t xml:space="preserve"> meet the regulatory requirements for dry material handling. The plant also complies with the Portland Cement Manufacturing National Emission Standard for Hazardous Air Pollutants (NESHAP).</w:t>
      </w:r>
      <w:r w:rsidR="009932BF">
        <w:t xml:space="preserve"> </w:t>
      </w:r>
      <w:r w:rsidR="00A221AD" w:rsidRPr="00D41793">
        <w:t>This standard regulates particulate matter (PM) as a surrogate for metals. The relevant NESHAP is 40 CFR Part 63, Subpart LLL.</w:t>
      </w:r>
      <w:r w:rsidR="009932BF">
        <w:t xml:space="preserve"> </w:t>
      </w:r>
      <w:r w:rsidR="00A221AD" w:rsidRPr="00D41793">
        <w:t>This NES</w:t>
      </w:r>
      <w:r w:rsidR="00B91185">
        <w:t>HA</w:t>
      </w:r>
      <w:r w:rsidR="00A221AD" w:rsidRPr="00D41793">
        <w:t xml:space="preserve">P was last updated mid 2018 when the Environmental Protection Agency (EPA) determined that there were no developments in practices, processes, and control technologies that warrant revisions to the </w:t>
      </w:r>
      <w:r w:rsidR="004F5EF2">
        <w:t>Maximum Achievable Control Technology (</w:t>
      </w:r>
      <w:r w:rsidR="00A221AD" w:rsidRPr="00D41793">
        <w:t>MACT</w:t>
      </w:r>
      <w:r w:rsidR="004F5EF2">
        <w:t>)</w:t>
      </w:r>
      <w:r w:rsidR="00A221AD" w:rsidRPr="00D41793">
        <w:t xml:space="preserve"> standards for this source category (83 FR 35122-35216 (July 25, 2018)).</w:t>
      </w:r>
    </w:p>
    <w:p w14:paraId="0469A8BD" w14:textId="6F62C76D" w:rsidR="00A221AD" w:rsidRPr="00D41793" w:rsidRDefault="002C2B83" w:rsidP="00140A46">
      <w:pPr>
        <w:pStyle w:val="Paragraph"/>
      </w:pPr>
      <w:r>
        <w:t>SO</w:t>
      </w:r>
      <w:r w:rsidRPr="00F65495">
        <w:rPr>
          <w:vertAlign w:val="subscript"/>
        </w:rPr>
        <w:t>2</w:t>
      </w:r>
      <w:r w:rsidR="00A221AD" w:rsidRPr="00D41793">
        <w:t xml:space="preserve"> emissions from the plant come from burning sulfur containing fuels. </w:t>
      </w:r>
      <w:r w:rsidR="0004149F" w:rsidRPr="00D41793">
        <w:t xml:space="preserve">The plant is capable of burning coal, natural gas, and tire-derived fuels. The plant has not been using coal for the last couple of years, but </w:t>
      </w:r>
      <w:r w:rsidR="00E4229F" w:rsidRPr="00D41793">
        <w:t>still has</w:t>
      </w:r>
      <w:r w:rsidR="0004149F" w:rsidRPr="00D41793">
        <w:t xml:space="preserve"> the ability to use coal. </w:t>
      </w:r>
      <w:r w:rsidR="00A221AD" w:rsidRPr="00D41793">
        <w:t xml:space="preserve">The alkaline cement clinker tends to remove </w:t>
      </w:r>
      <w:r w:rsidR="00AF3E8D">
        <w:t>SO</w:t>
      </w:r>
      <w:r w:rsidR="00AF3E8D" w:rsidRPr="00AF3E8D">
        <w:rPr>
          <w:vertAlign w:val="subscript"/>
        </w:rPr>
        <w:t>2</w:t>
      </w:r>
      <w:r w:rsidR="00A221AD" w:rsidRPr="00D41793">
        <w:t xml:space="preserve"> from the combustion gases</w:t>
      </w:r>
      <w:r w:rsidR="00C75834">
        <w:t>.</w:t>
      </w:r>
      <w:r w:rsidR="00A221AD" w:rsidRPr="00D41793">
        <w:t xml:space="preserve"> </w:t>
      </w:r>
      <w:r w:rsidR="00C75834">
        <w:t>The facility has used this as</w:t>
      </w:r>
      <w:r w:rsidR="0004149F" w:rsidRPr="00D41793">
        <w:t xml:space="preserve"> a primary method of </w:t>
      </w:r>
      <w:r w:rsidR="006E7A14">
        <w:t>SO</w:t>
      </w:r>
      <w:r w:rsidR="006E7A14" w:rsidRPr="006E7A14">
        <w:rPr>
          <w:vertAlign w:val="subscript"/>
        </w:rPr>
        <w:t>2</w:t>
      </w:r>
      <w:r w:rsidR="006E7A14">
        <w:t xml:space="preserve"> </w:t>
      </w:r>
      <w:r w:rsidR="0004149F" w:rsidRPr="00D41793">
        <w:t>control.</w:t>
      </w:r>
    </w:p>
    <w:p w14:paraId="647B0A63" w14:textId="6697D9D5" w:rsidR="0004149F" w:rsidRPr="00D41793" w:rsidRDefault="0004149F" w:rsidP="00140A46">
      <w:pPr>
        <w:pStyle w:val="Paragraph"/>
      </w:pPr>
      <w:r w:rsidRPr="00D41793">
        <w:t xml:space="preserve">Oxides of nitrogen (NOx) emissions from the plant come from </w:t>
      </w:r>
      <w:r w:rsidR="00E4229F" w:rsidRPr="00D41793">
        <w:t>burning fuel.</w:t>
      </w:r>
    </w:p>
    <w:p w14:paraId="5F4A6CDA" w14:textId="234935B3" w:rsidR="00E4229F" w:rsidRPr="00D41793" w:rsidRDefault="00E4229F" w:rsidP="00062F58">
      <w:pPr>
        <w:pStyle w:val="Heading5"/>
        <w:rPr>
          <w:shd w:val="clear" w:color="auto" w:fill="FFFFFF"/>
        </w:rPr>
      </w:pPr>
      <w:bookmarkStart w:id="39" w:name="_Toc49523833"/>
      <w:bookmarkStart w:id="40" w:name="_Toc49863854"/>
      <w:bookmarkStart w:id="41" w:name="_Toc51673346"/>
      <w:bookmarkStart w:id="42" w:name="_Toc51674402"/>
      <w:r w:rsidRPr="00D41793">
        <w:rPr>
          <w:shd w:val="clear" w:color="auto" w:fill="FFFFFF"/>
        </w:rPr>
        <w:t xml:space="preserve">Consent </w:t>
      </w:r>
      <w:r w:rsidR="0082687C">
        <w:t>d</w:t>
      </w:r>
      <w:r w:rsidRPr="00062F58">
        <w:t>ecree</w:t>
      </w:r>
      <w:bookmarkEnd w:id="39"/>
      <w:bookmarkEnd w:id="40"/>
      <w:bookmarkEnd w:id="41"/>
      <w:bookmarkEnd w:id="42"/>
    </w:p>
    <w:p w14:paraId="453ECED2" w14:textId="4C20E95A" w:rsidR="00E4229F" w:rsidRPr="00E4229F" w:rsidRDefault="00E4229F" w:rsidP="00140A46">
      <w:pPr>
        <w:pStyle w:val="Paragraph"/>
      </w:pPr>
      <w:r w:rsidRPr="00D41793">
        <w:t>The Ash Grove Cement Company entered into a consent decree with EPA, Ecology, the Puget Sound Clean Air Agency</w:t>
      </w:r>
      <w:r w:rsidR="004F5EF2">
        <w:t xml:space="preserve"> (PSCAA)</w:t>
      </w:r>
      <w:r w:rsidRPr="00D41793">
        <w:t xml:space="preserve">, and other </w:t>
      </w:r>
      <w:r w:rsidRPr="00140A46">
        <w:t>state</w:t>
      </w:r>
      <w:r w:rsidRPr="00D41793">
        <w:t xml:space="preserve"> agencies in 2013 [</w:t>
      </w:r>
      <w:r w:rsidRPr="002E6A90">
        <w:rPr>
          <w:highlight w:val="yellow"/>
        </w:rPr>
        <w:t>SEE APPENDIX XX</w:t>
      </w:r>
      <w:r w:rsidRPr="00D41793">
        <w:t>]. The</w:t>
      </w:r>
      <w:r w:rsidR="00C75834">
        <w:t xml:space="preserve"> consent decree required the</w:t>
      </w:r>
      <w:r w:rsidRPr="00D41793">
        <w:t xml:space="preserve"> Seat</w:t>
      </w:r>
      <w:r w:rsidR="00AC0930" w:rsidRPr="00D41793">
        <w:t>t</w:t>
      </w:r>
      <w:r w:rsidRPr="00D41793">
        <w:t>le facility</w:t>
      </w:r>
      <w:r w:rsidR="00E02730">
        <w:t xml:space="preserve"> </w:t>
      </w:r>
      <w:r w:rsidRPr="00D41793">
        <w:t xml:space="preserve">to submit </w:t>
      </w:r>
      <w:r w:rsidRPr="00E4229F">
        <w:t>an optimization protocol for the Seattle Kiln</w:t>
      </w:r>
      <w:r w:rsidR="00C75834">
        <w:t>. The purpose of the protocol was to</w:t>
      </w:r>
      <w:r w:rsidRPr="00E4229F">
        <w:t xml:space="preserve"> </w:t>
      </w:r>
      <w:r w:rsidR="00C75834">
        <w:t>optimize</w:t>
      </w:r>
      <w:r w:rsidRPr="00E4229F">
        <w:t xml:space="preserve"> the operation of the Seattle Kiln to reduce NOx emissions to the maximum extent practicable from that </w:t>
      </w:r>
      <w:r w:rsidR="005C42A7">
        <w:t>k</w:t>
      </w:r>
      <w:r w:rsidR="005C42A7" w:rsidRPr="00E4229F">
        <w:t>iln</w:t>
      </w:r>
      <w:r w:rsidRPr="00E4229F">
        <w:t xml:space="preserve">. </w:t>
      </w:r>
      <w:r w:rsidR="00AC0930" w:rsidRPr="00D41793">
        <w:t xml:space="preserve">The facility did not </w:t>
      </w:r>
      <w:r w:rsidRPr="00E4229F">
        <w:t>n</w:t>
      </w:r>
      <w:r w:rsidR="00AC0930" w:rsidRPr="00D41793">
        <w:t>eed to</w:t>
      </w:r>
      <w:r w:rsidRPr="00E4229F">
        <w:t xml:space="preserve"> </w:t>
      </w:r>
      <w:r w:rsidRPr="00E4229F">
        <w:lastRenderedPageBreak/>
        <w:t xml:space="preserve">demonstrate compliance at the stack venting exhaust gases from the Seattle coal mill. </w:t>
      </w:r>
      <w:r w:rsidR="00FA019D">
        <w:t>EPA reviewed t</w:t>
      </w:r>
      <w:r w:rsidR="00AC0930" w:rsidRPr="00D41793">
        <w:t xml:space="preserve">he optimization plan </w:t>
      </w:r>
      <w:r w:rsidRPr="00E4229F">
        <w:t xml:space="preserve">in consultation with the </w:t>
      </w:r>
      <w:r w:rsidR="004F5EF2">
        <w:t>PSCAA</w:t>
      </w:r>
      <w:r w:rsidR="00AC0930" w:rsidRPr="00D41793">
        <w:t>.</w:t>
      </w:r>
    </w:p>
    <w:p w14:paraId="6F261D0B" w14:textId="2515455D" w:rsidR="00F55474" w:rsidRDefault="00AC0930" w:rsidP="00140A46">
      <w:pPr>
        <w:pStyle w:val="Paragraph"/>
      </w:pPr>
      <w:r w:rsidRPr="00D41793">
        <w:t>The protocols for</w:t>
      </w:r>
      <w:r w:rsidR="00062F58">
        <w:t xml:space="preserve"> the optimization plan </w:t>
      </w:r>
      <w:r w:rsidR="00F55474">
        <w:t>included</w:t>
      </w:r>
      <w:r w:rsidRPr="00D41793">
        <w:t xml:space="preserve"> optimization of key operating parameters resulting in the minimization of emissions of NOx</w:t>
      </w:r>
      <w:r w:rsidR="00F55474">
        <w:t xml:space="preserve">. The consent decree </w:t>
      </w:r>
      <w:r w:rsidR="00AD3B90">
        <w:t>required minimization</w:t>
      </w:r>
      <w:r w:rsidR="00F55474">
        <w:t xml:space="preserve"> of NOx</w:t>
      </w:r>
      <w:r w:rsidRPr="00D41793">
        <w:t xml:space="preserve"> to the greatest extent practicable without</w:t>
      </w:r>
      <w:r w:rsidR="00F55474">
        <w:t>:</w:t>
      </w:r>
    </w:p>
    <w:p w14:paraId="298A0A52" w14:textId="00C17B57" w:rsidR="00F55474" w:rsidRDefault="00AC0930" w:rsidP="003F1BC0">
      <w:pPr>
        <w:pStyle w:val="BulletedList"/>
      </w:pPr>
      <w:r w:rsidRPr="00D41793">
        <w:t>incurring unreasonable cost</w:t>
      </w:r>
      <w:r w:rsidR="003F1BC0">
        <w:t>.</w:t>
      </w:r>
    </w:p>
    <w:p w14:paraId="40C75B08" w14:textId="19A571C7" w:rsidR="00F55474" w:rsidRDefault="00AC0930" w:rsidP="003F1BC0">
      <w:pPr>
        <w:pStyle w:val="BulletedList"/>
      </w:pPr>
      <w:r w:rsidRPr="00D41793">
        <w:t>causing an exceedance of any other applicable emissions limit</w:t>
      </w:r>
      <w:r w:rsidR="003F1BC0">
        <w:t>.</w:t>
      </w:r>
    </w:p>
    <w:p w14:paraId="3AAC18DB" w14:textId="7B0AA978" w:rsidR="00FD7F6A" w:rsidRDefault="00AC0930" w:rsidP="003F1BC0">
      <w:pPr>
        <w:pStyle w:val="BulletedList"/>
      </w:pPr>
      <w:r w:rsidRPr="00D41793">
        <w:t>impairing production quality or quantity</w:t>
      </w:r>
      <w:r w:rsidR="003F1BC0">
        <w:t>.</w:t>
      </w:r>
    </w:p>
    <w:p w14:paraId="15913026" w14:textId="6C2C49DE" w:rsidR="00E4229F" w:rsidRPr="00D41793" w:rsidRDefault="00AC0930" w:rsidP="00546225">
      <w:pPr>
        <w:pStyle w:val="Paragraph"/>
      </w:pPr>
      <w:r w:rsidRPr="00D41793">
        <w:t xml:space="preserve">The protocols also required </w:t>
      </w:r>
      <w:r w:rsidR="00FD7F6A">
        <w:t xml:space="preserve">the facility </w:t>
      </w:r>
      <w:r w:rsidRPr="00D41793">
        <w:t xml:space="preserve">to identify all </w:t>
      </w:r>
      <w:r w:rsidRPr="00546225">
        <w:t>potential</w:t>
      </w:r>
      <w:r w:rsidRPr="00D41793">
        <w:t xml:space="preserve"> process and/or operational changes that </w:t>
      </w:r>
      <w:r w:rsidR="00FD7F6A">
        <w:t>they could implement</w:t>
      </w:r>
      <w:r w:rsidRPr="00D41793">
        <w:t xml:space="preserve"> to reduce emissions of NOx.</w:t>
      </w:r>
    </w:p>
    <w:p w14:paraId="7DF0DDD2" w14:textId="6D141A3D" w:rsidR="00AC0930" w:rsidRPr="00D41793" w:rsidRDefault="00AC0930" w:rsidP="00140A46">
      <w:pPr>
        <w:pStyle w:val="Paragraph"/>
      </w:pPr>
      <w:r w:rsidRPr="00D41793">
        <w:t>On June 30, 2016, the facility submitted the NOx demonstration period report and data related to opt</w:t>
      </w:r>
      <w:r w:rsidR="00803490" w:rsidRPr="00D41793">
        <w:t>imization.</w:t>
      </w:r>
      <w:r w:rsidR="009932BF">
        <w:t xml:space="preserve"> </w:t>
      </w:r>
      <w:r w:rsidR="00803490" w:rsidRPr="00D41793">
        <w:t>On Aug</w:t>
      </w:r>
      <w:r w:rsidR="00E63F05">
        <w:t>ust</w:t>
      </w:r>
      <w:r w:rsidR="00803490" w:rsidRPr="00D41793">
        <w:t xml:space="preserve"> 25, 2016, EPA, in consultation with </w:t>
      </w:r>
      <w:r w:rsidR="006D55F1">
        <w:t>Ecology and PSCAA</w:t>
      </w:r>
      <w:r w:rsidR="00803490" w:rsidRPr="00D41793">
        <w:t>, reviewed the data and approved the limit of 5.1 pounds of NOx per ton of clinker on a 30-day rolling average.</w:t>
      </w:r>
    </w:p>
    <w:p w14:paraId="1C7AAE16" w14:textId="77777777" w:rsidR="000E70A4" w:rsidRPr="00D41793" w:rsidRDefault="000E70A4" w:rsidP="007A27BE">
      <w:pPr>
        <w:pStyle w:val="Heading5"/>
        <w:rPr>
          <w:shd w:val="clear" w:color="auto" w:fill="FFFFFF"/>
        </w:rPr>
      </w:pPr>
      <w:bookmarkStart w:id="43" w:name="_Toc49523834"/>
      <w:bookmarkStart w:id="44" w:name="_Toc49863855"/>
      <w:bookmarkStart w:id="45" w:name="_Toc51673347"/>
      <w:bookmarkStart w:id="46" w:name="_Toc51674403"/>
      <w:r w:rsidRPr="00D41793">
        <w:rPr>
          <w:shd w:val="clear" w:color="auto" w:fill="FFFFFF"/>
        </w:rPr>
        <w:t>Four Factor Analysis</w:t>
      </w:r>
      <w:bookmarkEnd w:id="43"/>
      <w:bookmarkEnd w:id="44"/>
      <w:bookmarkEnd w:id="45"/>
      <w:bookmarkEnd w:id="46"/>
    </w:p>
    <w:p w14:paraId="297551F1" w14:textId="2DD89304" w:rsidR="00E4229F" w:rsidRDefault="00DE7182" w:rsidP="00140A46">
      <w:pPr>
        <w:pStyle w:val="Paragraph"/>
      </w:pPr>
      <w:r>
        <w:t>The following</w:t>
      </w:r>
      <w:r w:rsidR="00906266">
        <w:t xml:space="preserve"> analysis</w:t>
      </w:r>
      <w:r w:rsidR="00E4229F" w:rsidRPr="00D41793">
        <w:t xml:space="preserve"> </w:t>
      </w:r>
      <w:r w:rsidR="00451E82" w:rsidRPr="00D41793">
        <w:t>recognizes that</w:t>
      </w:r>
      <w:r w:rsidR="004A0E16">
        <w:t xml:space="preserve"> EPA approved</w:t>
      </w:r>
      <w:r w:rsidR="00451E82" w:rsidRPr="00D41793">
        <w:t xml:space="preserve"> the consent decree of 2013 and the optimization of the facility to limit NOx emissions in 2016.</w:t>
      </w:r>
      <w:r w:rsidR="009932BF">
        <w:t xml:space="preserve"> </w:t>
      </w:r>
      <w:r w:rsidR="00451E82" w:rsidRPr="00D41793">
        <w:t>The basis of the plan was to reduce NOx emissions to the greatest practicable extent within reasonab</w:t>
      </w:r>
      <w:r w:rsidR="00D41793" w:rsidRPr="00D41793">
        <w:t>le costs. Ecology doe</w:t>
      </w:r>
      <w:r w:rsidR="004A0E16">
        <w:t>s not</w:t>
      </w:r>
      <w:r w:rsidR="00D41793" w:rsidRPr="00D41793">
        <w:t xml:space="preserve"> typically perform RACT analysis on </w:t>
      </w:r>
      <w:r w:rsidR="00DA3B9B">
        <w:t xml:space="preserve">single </w:t>
      </w:r>
      <w:r w:rsidR="00D41793" w:rsidRPr="00D41793">
        <w:t xml:space="preserve">facilities that have had </w:t>
      </w:r>
      <w:r w:rsidR="007E0B39">
        <w:t xml:space="preserve">a </w:t>
      </w:r>
      <w:r w:rsidR="00D41793" w:rsidRPr="00D41793">
        <w:t>reasonable analysis performed within the last five years.</w:t>
      </w:r>
      <w:r w:rsidR="00906266">
        <w:t xml:space="preserve"> The following </w:t>
      </w:r>
      <w:r w:rsidR="006D55F1">
        <w:t>evaluates</w:t>
      </w:r>
      <w:r w:rsidR="00906266">
        <w:t xml:space="preserve"> </w:t>
      </w:r>
      <w:r w:rsidR="00E80E6A">
        <w:t>possible additional controls.</w:t>
      </w:r>
      <w:r w:rsidR="0070075D">
        <w:t xml:space="preserve"> </w:t>
      </w:r>
    </w:p>
    <w:p w14:paraId="14D55D20" w14:textId="77777777" w:rsidR="003A22A0" w:rsidRDefault="003A22A0" w:rsidP="003A22A0">
      <w:pPr>
        <w:pStyle w:val="Heading6"/>
        <w:rPr>
          <w:shd w:val="clear" w:color="auto" w:fill="FFFFFF"/>
        </w:rPr>
      </w:pPr>
      <w:bookmarkStart w:id="47" w:name="_Toc49863856"/>
      <w:bookmarkStart w:id="48" w:name="_Toc51673348"/>
      <w:r>
        <w:rPr>
          <w:shd w:val="clear" w:color="auto" w:fill="FFFFFF"/>
        </w:rPr>
        <w:t>NOx emission controls</w:t>
      </w:r>
      <w:bookmarkEnd w:id="47"/>
      <w:bookmarkEnd w:id="48"/>
    </w:p>
    <w:p w14:paraId="58624E8B" w14:textId="2CBE8D87" w:rsidR="007A27BE" w:rsidRPr="00D41793" w:rsidRDefault="000374E2" w:rsidP="00140A46">
      <w:pPr>
        <w:pStyle w:val="Paragraph"/>
      </w:pPr>
      <w:r>
        <w:t>Selective catalytic reduction (SCR) and selective non-catalytic reduction (SNCR) emission control systems are two potentially viable methods of reducing NO</w:t>
      </w:r>
      <w:r w:rsidRPr="003F1BC0">
        <w:rPr>
          <w:vertAlign w:val="subscript"/>
        </w:rPr>
        <w:t>X</w:t>
      </w:r>
      <w:r>
        <w:t xml:space="preserve"> emissions. The exit stack temperature at the facility is typically around </w:t>
      </w:r>
      <w:r w:rsidRPr="00770CED">
        <w:t>350</w:t>
      </w:r>
      <w:r w:rsidRPr="00770CED">
        <w:rPr>
          <w:rFonts w:cstheme="minorHAnsi"/>
        </w:rPr>
        <w:t>°</w:t>
      </w:r>
      <w:r w:rsidRPr="00770CED">
        <w:t>F</w:t>
      </w:r>
      <w:r w:rsidR="00E40A3B">
        <w:t xml:space="preserve">. This stack temperature is </w:t>
      </w:r>
      <w:r w:rsidR="00A40C5B">
        <w:t xml:space="preserve">less </w:t>
      </w:r>
      <w:r w:rsidR="00E40A3B">
        <w:t>than the typical SCR operation temperature and</w:t>
      </w:r>
      <w:r w:rsidR="00AD3B90">
        <w:t xml:space="preserve"> requires</w:t>
      </w:r>
      <w:r w:rsidR="00E40A3B">
        <w:t xml:space="preserve"> </w:t>
      </w:r>
      <w:r w:rsidR="00A40C5B">
        <w:t>additional heating to 650</w:t>
      </w:r>
      <w:r w:rsidR="00A40C5B">
        <w:rPr>
          <w:rFonts w:cstheme="minorHAnsi"/>
        </w:rPr>
        <w:t>°</w:t>
      </w:r>
      <w:r w:rsidR="00A40C5B">
        <w:t>F</w:t>
      </w:r>
      <w:r w:rsidR="00E40A3B">
        <w:t>.</w:t>
      </w:r>
      <w:r w:rsidR="009932BF">
        <w:t xml:space="preserve"> </w:t>
      </w:r>
      <w:r w:rsidR="00E40A3B">
        <w:t xml:space="preserve">The temperature is significantly lower than optimal SNCR temperatures and </w:t>
      </w:r>
      <w:r w:rsidR="00AD3B90">
        <w:t>requires</w:t>
      </w:r>
      <w:r w:rsidR="003F1BC0">
        <w:t xml:space="preserve"> heating, which</w:t>
      </w:r>
      <w:r w:rsidR="00E40A3B">
        <w:t xml:space="preserve"> generate</w:t>
      </w:r>
      <w:r w:rsidR="00AD3B90">
        <w:t>s</w:t>
      </w:r>
      <w:r w:rsidR="00E40A3B">
        <w:t xml:space="preserve"> more NOx.</w:t>
      </w:r>
    </w:p>
    <w:p w14:paraId="4E6C13FF" w14:textId="635AEC79" w:rsidR="00E40A3B" w:rsidRDefault="00D41793" w:rsidP="00140A46">
      <w:pPr>
        <w:pStyle w:val="Paragraph"/>
      </w:pPr>
      <w:r w:rsidRPr="00D41793">
        <w:t xml:space="preserve">Efficient operation of </w:t>
      </w:r>
      <w:r w:rsidR="00E40A3B">
        <w:t>a</w:t>
      </w:r>
      <w:r w:rsidRPr="00D41793">
        <w:t xml:space="preserve"> SCR process requires </w:t>
      </w:r>
      <w:r w:rsidR="00E40A3B">
        <w:t>consistent</w:t>
      </w:r>
      <w:r w:rsidR="004A7541">
        <w:t xml:space="preserve"> exhaust temperatures. </w:t>
      </w:r>
      <w:r w:rsidR="00E40A3B">
        <w:t xml:space="preserve">Changes </w:t>
      </w:r>
      <w:r w:rsidRPr="00D41793">
        <w:t xml:space="preserve">in </w:t>
      </w:r>
      <w:r w:rsidR="00E40A3B">
        <w:t xml:space="preserve">the </w:t>
      </w:r>
      <w:r w:rsidRPr="00D41793">
        <w:t xml:space="preserve">temperatures </w:t>
      </w:r>
      <w:r w:rsidR="00E40A3B">
        <w:t xml:space="preserve">of the exhaust gas results in reduced NOx </w:t>
      </w:r>
      <w:r w:rsidRPr="00D41793">
        <w:t xml:space="preserve">removal efficiency. </w:t>
      </w:r>
      <w:r w:rsidR="00896B67" w:rsidRPr="00896B67">
        <w:t>When exhaust stream temperatures are too low, there is the potential that injected ammonia (the reducing agent) won’t react (ammonia slip). Conversely, when the exhaust stream temperature is too high, ammonia (NH3) can oxidize to NO, potentially reducing efficiencies.</w:t>
      </w:r>
      <w:r w:rsidR="00E40A3B">
        <w:t xml:space="preserve"> </w:t>
      </w:r>
      <w:r w:rsidR="00D57E0F">
        <w:t xml:space="preserve">The </w:t>
      </w:r>
      <w:r w:rsidR="00896B67">
        <w:t xml:space="preserve">reducing </w:t>
      </w:r>
      <w:r w:rsidR="00D57E0F">
        <w:t>process needs e</w:t>
      </w:r>
      <w:r w:rsidR="00E40A3B">
        <w:t>xcess NH</w:t>
      </w:r>
      <w:r w:rsidR="00E40A3B" w:rsidRPr="003F1BC0">
        <w:rPr>
          <w:vertAlign w:val="subscript"/>
        </w:rPr>
        <w:t>3</w:t>
      </w:r>
      <w:r w:rsidR="00E40A3B">
        <w:t xml:space="preserve"> to achieve</w:t>
      </w:r>
      <w:r w:rsidRPr="00D41793">
        <w:t xml:space="preserve"> removal efficiencies </w:t>
      </w:r>
      <w:r w:rsidR="00E40A3B">
        <w:t xml:space="preserve">in excess of </w:t>
      </w:r>
      <w:r w:rsidRPr="00D41793">
        <w:t>80</w:t>
      </w:r>
      <w:r w:rsidR="003D1345">
        <w:t xml:space="preserve"> percent</w:t>
      </w:r>
      <w:r w:rsidR="00B07D39">
        <w:t xml:space="preserve"> </w:t>
      </w:r>
      <w:r w:rsidR="00E40A3B">
        <w:t>and can result in ammonia slip</w:t>
      </w:r>
      <w:r w:rsidRPr="00D41793">
        <w:t>.</w:t>
      </w:r>
    </w:p>
    <w:p w14:paraId="2347EDE3" w14:textId="0CF63AAE" w:rsidR="004A7541" w:rsidRDefault="00E40A3B" w:rsidP="00140A46">
      <w:pPr>
        <w:pStyle w:val="Paragraph"/>
      </w:pPr>
      <w:r>
        <w:lastRenderedPageBreak/>
        <w:t>Fouling of the catalyst bed is a risk when operating a</w:t>
      </w:r>
      <w:r w:rsidR="00D57E0F">
        <w:t>n</w:t>
      </w:r>
      <w:r>
        <w:t xml:space="preserve"> SCR. Installing the catalyst bed downstream of the </w:t>
      </w:r>
      <w:r w:rsidR="004F5EF2">
        <w:t>PM</w:t>
      </w:r>
      <w:r>
        <w:t xml:space="preserve"> controls, </w:t>
      </w:r>
      <w:r w:rsidR="007E0B39">
        <w:t>(</w:t>
      </w:r>
      <w:r>
        <w:t xml:space="preserve">this facility uses baghouse dust collectors), can reduce </w:t>
      </w:r>
      <w:r w:rsidR="00D41793" w:rsidRPr="00D41793">
        <w:t>fouling</w:t>
      </w:r>
      <w:r w:rsidR="004A7541">
        <w:t>. The</w:t>
      </w:r>
      <w:r w:rsidR="00D41793" w:rsidRPr="00D41793">
        <w:t xml:space="preserve"> low exhaust gas</w:t>
      </w:r>
      <w:r w:rsidR="000374E2">
        <w:t xml:space="preserve"> </w:t>
      </w:r>
      <w:r w:rsidR="00D41793" w:rsidRPr="00D41793">
        <w:t xml:space="preserve">temperature exiting the </w:t>
      </w:r>
      <w:r w:rsidR="004A7541">
        <w:t>baghouse would require the installation of</w:t>
      </w:r>
      <w:r w:rsidR="00D41793" w:rsidRPr="00D41793">
        <w:t xml:space="preserve"> a heat exchanger system to</w:t>
      </w:r>
      <w:r w:rsidR="000374E2">
        <w:t xml:space="preserve"> </w:t>
      </w:r>
      <w:r w:rsidR="00D41793" w:rsidRPr="00D41793">
        <w:t xml:space="preserve">reheat the exhaust stream to the desired reaction temperature range of between 480 °F to 800 °F. </w:t>
      </w:r>
      <w:r w:rsidR="004A7541">
        <w:t>The use of a preheater would require additional fuel consumption</w:t>
      </w:r>
      <w:r w:rsidR="00D57E0F">
        <w:t>,</w:t>
      </w:r>
      <w:r w:rsidR="004A7541">
        <w:t xml:space="preserve"> which would create even more NOx.</w:t>
      </w:r>
    </w:p>
    <w:p w14:paraId="197DE58C" w14:textId="54A7C83C" w:rsidR="00D41793" w:rsidRPr="00D41793" w:rsidRDefault="004A7541" w:rsidP="00140A46">
      <w:pPr>
        <w:pStyle w:val="Paragraph"/>
      </w:pPr>
      <w:r>
        <w:t>Installation of a SCR system would require</w:t>
      </w:r>
      <w:r w:rsidR="00D41793" w:rsidRPr="00D41793">
        <w:t xml:space="preserve"> storage and</w:t>
      </w:r>
      <w:r w:rsidR="000374E2">
        <w:t xml:space="preserve"> </w:t>
      </w:r>
      <w:r w:rsidR="00546225">
        <w:t>handling equipment for</w:t>
      </w:r>
      <w:r w:rsidR="00D41793" w:rsidRPr="00D41793">
        <w:t xml:space="preserve"> ammonia, </w:t>
      </w:r>
      <w:r w:rsidR="00B14F94">
        <w:t xml:space="preserve">and </w:t>
      </w:r>
      <w:r w:rsidR="00D41793" w:rsidRPr="00D41793">
        <w:t xml:space="preserve">the required equipment for the SCR system </w:t>
      </w:r>
      <w:r w:rsidR="00B14F94">
        <w:t>would</w:t>
      </w:r>
      <w:r w:rsidR="00B14F94" w:rsidRPr="00D41793">
        <w:t xml:space="preserve"> </w:t>
      </w:r>
      <w:r w:rsidR="00D41793" w:rsidRPr="00D41793">
        <w:t>include a catalytic</w:t>
      </w:r>
      <w:r w:rsidR="000374E2">
        <w:t xml:space="preserve"> </w:t>
      </w:r>
      <w:r w:rsidR="00D41793" w:rsidRPr="00D41793">
        <w:t>reactor, heat exchanger</w:t>
      </w:r>
      <w:r w:rsidR="00B14F94">
        <w:t>,</w:t>
      </w:r>
      <w:r w:rsidR="00D41793" w:rsidRPr="00D41793">
        <w:t xml:space="preserve"> and potentially additional </w:t>
      </w:r>
      <w:r w:rsidR="000C2EB3" w:rsidRPr="001E255C">
        <w:rPr>
          <w:rStyle w:val="ParagraphChar"/>
        </w:rPr>
        <w:t>NO</w:t>
      </w:r>
      <w:r w:rsidR="000C2EB3" w:rsidRPr="001E255C">
        <w:rPr>
          <w:rStyle w:val="ParagraphChar"/>
          <w:vertAlign w:val="subscript"/>
        </w:rPr>
        <w:t>X</w:t>
      </w:r>
      <w:r w:rsidR="00D41793" w:rsidRPr="00D41793">
        <w:t xml:space="preserve"> control equipment for the emissions associated</w:t>
      </w:r>
      <w:r w:rsidR="000374E2">
        <w:t xml:space="preserve"> </w:t>
      </w:r>
      <w:r w:rsidR="00D41793" w:rsidRPr="00D41793">
        <w:t>with the heat exchanger fuel combustion.</w:t>
      </w:r>
    </w:p>
    <w:p w14:paraId="0DDBFBA9" w14:textId="46451D12" w:rsidR="00D41793" w:rsidRDefault="004A7541" w:rsidP="00140A46">
      <w:pPr>
        <w:pStyle w:val="Paragraph"/>
      </w:pPr>
      <w:r>
        <w:t>Installing the SCR in the high dust exhaust stream (e.g. before the baghouse) would put the SCR in the</w:t>
      </w:r>
      <w:r w:rsidR="00C83566">
        <w:t xml:space="preserve"> optimal temperature zone but there is a </w:t>
      </w:r>
      <w:r>
        <w:t>risk of fouling the catalyst.</w:t>
      </w:r>
      <w:r w:rsidR="009932BF">
        <w:t xml:space="preserve"> </w:t>
      </w:r>
      <w:r>
        <w:t>Faster fouling of the catalyst would result in increased operation cost and increased plant down time. A larger catalyst volume and mechanical mechanism to clean the catalyst could mitigate the fouling impacts but would require a larger physical footprint for installation.</w:t>
      </w:r>
    </w:p>
    <w:p w14:paraId="5C8434ED" w14:textId="17B75409" w:rsidR="00B51460" w:rsidRDefault="00B51460" w:rsidP="00140A46">
      <w:pPr>
        <w:pStyle w:val="Paragraph"/>
      </w:pPr>
      <w:r>
        <w:t>SNCR systems operate at a substantially higher temperature (1600</w:t>
      </w:r>
      <w:r>
        <w:rPr>
          <w:rFonts w:cstheme="minorHAnsi"/>
        </w:rPr>
        <w:t>°</w:t>
      </w:r>
      <w:r>
        <w:t>F to 2100</w:t>
      </w:r>
      <w:r>
        <w:rPr>
          <w:rFonts w:cstheme="minorHAnsi"/>
        </w:rPr>
        <w:t>°</w:t>
      </w:r>
      <w:r>
        <w:t>F) than SCR system</w:t>
      </w:r>
      <w:r w:rsidR="00B14F94">
        <w:t>s</w:t>
      </w:r>
      <w:r>
        <w:t>.</w:t>
      </w:r>
      <w:r w:rsidR="009932BF">
        <w:t xml:space="preserve"> </w:t>
      </w:r>
      <w:r>
        <w:t xml:space="preserve">This would create an even higher preheater requirement. The SNCR system </w:t>
      </w:r>
      <w:r w:rsidR="00906266">
        <w:t xml:space="preserve">would </w:t>
      </w:r>
      <w:r>
        <w:t>have the same constraints with high dust environments as the SCR system.</w:t>
      </w:r>
    </w:p>
    <w:p w14:paraId="56EF3F63" w14:textId="44AB671D" w:rsidR="00B51460" w:rsidRPr="00D41793" w:rsidRDefault="00B51460" w:rsidP="00140A46">
      <w:pPr>
        <w:pStyle w:val="Paragraph"/>
      </w:pPr>
      <w:r>
        <w:t>The facility is located on a confined property with very little available area to install new equipment.</w:t>
      </w:r>
      <w:r w:rsidR="009932BF">
        <w:t xml:space="preserve"> </w:t>
      </w:r>
      <w:r>
        <w:t>The facility would need to move and relocate existing facilities in a vertical fashion to free up space.</w:t>
      </w:r>
      <w:r w:rsidR="009932BF">
        <w:t xml:space="preserve"> </w:t>
      </w:r>
      <w:r>
        <w:t xml:space="preserve">Another option would be to reduce the space allowed for </w:t>
      </w:r>
      <w:r w:rsidR="00D57E0F">
        <w:t>stockpiles</w:t>
      </w:r>
      <w:r>
        <w:t>, but this would result in potential operational impacts and increased vessel traffic to deliver materials more frequently.</w:t>
      </w:r>
    </w:p>
    <w:p w14:paraId="335FAA42" w14:textId="002157BF" w:rsidR="00D41793" w:rsidRDefault="00B51460" w:rsidP="00140A46">
      <w:pPr>
        <w:pStyle w:val="Paragraph"/>
      </w:pPr>
      <w:r w:rsidRPr="00D41793">
        <w:t xml:space="preserve">Based on these </w:t>
      </w:r>
      <w:r w:rsidR="0002233A">
        <w:t>considerations we concludethat SCR and SNCR are not reasonably feasible for the Ash Grove Seattle facility at this time</w:t>
      </w:r>
      <w:r w:rsidRPr="00D41793">
        <w:t>.</w:t>
      </w:r>
    </w:p>
    <w:p w14:paraId="78137207" w14:textId="219E31B4" w:rsidR="003A22A0" w:rsidRDefault="004F5EF2" w:rsidP="003A22A0">
      <w:pPr>
        <w:pStyle w:val="Heading6"/>
        <w:rPr>
          <w:shd w:val="clear" w:color="auto" w:fill="FFFFFF"/>
        </w:rPr>
      </w:pPr>
      <w:bookmarkStart w:id="49" w:name="_Toc49863857"/>
      <w:bookmarkStart w:id="50" w:name="_Toc51673349"/>
      <w:r>
        <w:rPr>
          <w:shd w:val="clear" w:color="auto" w:fill="FFFFFF"/>
        </w:rPr>
        <w:t>PM</w:t>
      </w:r>
      <w:r w:rsidR="003A22A0">
        <w:rPr>
          <w:shd w:val="clear" w:color="auto" w:fill="FFFFFF"/>
        </w:rPr>
        <w:t xml:space="preserve"> emission controls</w:t>
      </w:r>
      <w:bookmarkEnd w:id="49"/>
      <w:bookmarkEnd w:id="50"/>
    </w:p>
    <w:p w14:paraId="1D0A5E65" w14:textId="7311DD94" w:rsidR="003A22A0" w:rsidRDefault="003A22A0" w:rsidP="00140A46">
      <w:pPr>
        <w:pStyle w:val="Paragraph"/>
      </w:pPr>
      <w:r>
        <w:t xml:space="preserve">The facility upgraded their emission controls in 2019 with the installation of a Dustex 10-module pulse jet baghouse with rated flow rate of 185,000 </w:t>
      </w:r>
      <w:r w:rsidR="004F5EF2">
        <w:t>actual cubic feet per minute (</w:t>
      </w:r>
      <w:r>
        <w:t>ACFM</w:t>
      </w:r>
      <w:r w:rsidR="004F5EF2">
        <w:t>)</w:t>
      </w:r>
      <w:r>
        <w:t xml:space="preserve">. </w:t>
      </w:r>
      <w:r w:rsidR="00C90B48">
        <w:t>They performed t</w:t>
      </w:r>
      <w:r>
        <w:t>his upgrade</w:t>
      </w:r>
      <w:r w:rsidR="00E02730">
        <w:t xml:space="preserve"> </w:t>
      </w:r>
      <w:r>
        <w:t xml:space="preserve">under a permit modification with PSCAA. </w:t>
      </w:r>
      <w:r>
        <w:rPr>
          <w:noProof/>
        </w:rPr>
        <w:t xml:space="preserve">The permit modification requires the facility to meet the requirements of the Best Available Control Technology (BACT) requirements. </w:t>
      </w:r>
      <w:r w:rsidR="00951641">
        <w:rPr>
          <w:noProof/>
        </w:rPr>
        <w:t>No</w:t>
      </w:r>
      <w:r>
        <w:rPr>
          <w:noProof/>
        </w:rPr>
        <w:t xml:space="preserve"> additional control analys</w:t>
      </w:r>
      <w:r w:rsidR="00951641">
        <w:rPr>
          <w:noProof/>
        </w:rPr>
        <w:t>e</w:t>
      </w:r>
      <w:r>
        <w:rPr>
          <w:noProof/>
        </w:rPr>
        <w:t>s are required as a PM BACT analysis was recently performed and the site is meeting rel</w:t>
      </w:r>
      <w:r w:rsidR="00FA51C9">
        <w:rPr>
          <w:noProof/>
        </w:rPr>
        <w:t>e</w:t>
      </w:r>
      <w:r>
        <w:rPr>
          <w:noProof/>
        </w:rPr>
        <w:t>v</w:t>
      </w:r>
      <w:r w:rsidR="00FA51C9">
        <w:rPr>
          <w:noProof/>
        </w:rPr>
        <w:t>a</w:t>
      </w:r>
      <w:r>
        <w:rPr>
          <w:noProof/>
        </w:rPr>
        <w:t>nt N</w:t>
      </w:r>
      <w:r w:rsidR="004F5EF2">
        <w:rPr>
          <w:noProof/>
        </w:rPr>
        <w:t>ational Emission Standards.</w:t>
      </w:r>
    </w:p>
    <w:p w14:paraId="31D4193E" w14:textId="019801BD" w:rsidR="003A22A0" w:rsidRDefault="002C2B83" w:rsidP="00870F17">
      <w:pPr>
        <w:pStyle w:val="Heading6"/>
        <w:rPr>
          <w:shd w:val="clear" w:color="auto" w:fill="FFFFFF"/>
        </w:rPr>
      </w:pPr>
      <w:bookmarkStart w:id="51" w:name="_Toc49863858"/>
      <w:bookmarkStart w:id="52" w:name="_Toc51673350"/>
      <w:r>
        <w:rPr>
          <w:shd w:val="clear" w:color="auto" w:fill="FFFFFF"/>
        </w:rPr>
        <w:t>SO</w:t>
      </w:r>
      <w:r w:rsidRPr="00826A0C">
        <w:rPr>
          <w:shd w:val="clear" w:color="auto" w:fill="FFFFFF"/>
          <w:vertAlign w:val="subscript"/>
        </w:rPr>
        <w:t>2</w:t>
      </w:r>
      <w:r w:rsidR="00870F17">
        <w:rPr>
          <w:shd w:val="clear" w:color="auto" w:fill="FFFFFF"/>
        </w:rPr>
        <w:t xml:space="preserve"> emission controls</w:t>
      </w:r>
      <w:bookmarkEnd w:id="51"/>
      <w:bookmarkEnd w:id="52"/>
    </w:p>
    <w:p w14:paraId="30D91D1E" w14:textId="2185759B" w:rsidR="003A22A0" w:rsidRPr="00D41793" w:rsidRDefault="00870F17" w:rsidP="00140A46">
      <w:pPr>
        <w:pStyle w:val="Paragraph"/>
      </w:pPr>
      <w:r>
        <w:t xml:space="preserve">The primary emission of </w:t>
      </w:r>
      <w:r w:rsidR="00AF3E8D">
        <w:t>SO</w:t>
      </w:r>
      <w:r w:rsidR="00AF3E8D" w:rsidRPr="00AF3E8D">
        <w:rPr>
          <w:vertAlign w:val="subscript"/>
        </w:rPr>
        <w:t>2</w:t>
      </w:r>
      <w:r>
        <w:t xml:space="preserve"> from the facility is from the burning of coal, tires, and various oils. The primary emission control for </w:t>
      </w:r>
      <w:r w:rsidR="00AF3E8D">
        <w:t>SO</w:t>
      </w:r>
      <w:r w:rsidR="00AF3E8D" w:rsidRPr="00AF3E8D">
        <w:rPr>
          <w:vertAlign w:val="subscript"/>
        </w:rPr>
        <w:t>2</w:t>
      </w:r>
      <w:r>
        <w:t xml:space="preserve"> is a wet scrubber.</w:t>
      </w:r>
      <w:r w:rsidR="009932BF">
        <w:t xml:space="preserve"> </w:t>
      </w:r>
      <w:r>
        <w:t xml:space="preserve">The installation of a wet scrubber </w:t>
      </w:r>
      <w:r w:rsidR="00CF75DA">
        <w:t xml:space="preserve">and corresponding retention pond for the liquid coming out of the wet scrubber </w:t>
      </w:r>
      <w:r>
        <w:t xml:space="preserve">would take up </w:t>
      </w:r>
      <w:r>
        <w:lastRenderedPageBreak/>
        <w:t>significant space at the facility</w:t>
      </w:r>
      <w:r w:rsidR="00CF75DA">
        <w:t xml:space="preserve"> that is not available</w:t>
      </w:r>
      <w:r>
        <w:t>.</w:t>
      </w:r>
      <w:r w:rsidR="00957CF7">
        <w:t>.</w:t>
      </w:r>
      <w:r>
        <w:t xml:space="preserve"> As discussed in the</w:t>
      </w:r>
      <w:r w:rsidR="00CF75DA">
        <w:t xml:space="preserve"> NO</w:t>
      </w:r>
      <w:r w:rsidR="00CF75DA" w:rsidRPr="00CF75DA">
        <w:rPr>
          <w:vertAlign w:val="subscript"/>
        </w:rPr>
        <w:t>X</w:t>
      </w:r>
      <w:r>
        <w:t xml:space="preserve"> and SNCR emission devices above, space is limited at the site and installation would require extensive facility rearrangement in addition to the capital cost of the wet scrubber. Based on this, </w:t>
      </w:r>
      <w:r w:rsidR="00FA51C9">
        <w:t>we do not consider</w:t>
      </w:r>
      <w:r w:rsidR="00CF75DA">
        <w:t xml:space="preserve"> the cost of</w:t>
      </w:r>
      <w:r w:rsidR="00FA51C9">
        <w:t xml:space="preserve"> </w:t>
      </w:r>
      <w:r>
        <w:t xml:space="preserve">a wet scrubber </w:t>
      </w:r>
      <w:r w:rsidR="00CF75DA">
        <w:t>as reasonable</w:t>
      </w:r>
      <w:r w:rsidR="00926136">
        <w:t xml:space="preserve"> </w:t>
      </w:r>
      <w:r>
        <w:t>at this time</w:t>
      </w:r>
      <w:r w:rsidR="00ED3A2E">
        <w:t>.</w:t>
      </w:r>
    </w:p>
    <w:p w14:paraId="143EC737" w14:textId="15714C70" w:rsidR="000E70A4" w:rsidRDefault="000E70A4" w:rsidP="007A27BE">
      <w:pPr>
        <w:pStyle w:val="Heading6"/>
        <w:rPr>
          <w:shd w:val="clear" w:color="auto" w:fill="FFFFFF"/>
        </w:rPr>
      </w:pPr>
      <w:bookmarkStart w:id="53" w:name="_Toc49863859"/>
      <w:bookmarkStart w:id="54" w:name="_Toc51673351"/>
      <w:r w:rsidRPr="00D41793">
        <w:rPr>
          <w:shd w:val="clear" w:color="auto" w:fill="FFFFFF"/>
        </w:rPr>
        <w:t xml:space="preserve">Cost of </w:t>
      </w:r>
      <w:r w:rsidR="00992723">
        <w:rPr>
          <w:shd w:val="clear" w:color="auto" w:fill="FFFFFF"/>
        </w:rPr>
        <w:t>compliance</w:t>
      </w:r>
      <w:bookmarkEnd w:id="53"/>
      <w:bookmarkEnd w:id="54"/>
    </w:p>
    <w:p w14:paraId="476D4F1D" w14:textId="6A9D90D5" w:rsidR="00957CF7" w:rsidRDefault="00870F17" w:rsidP="00140A46">
      <w:pPr>
        <w:pStyle w:val="Paragraph"/>
      </w:pPr>
      <w:r>
        <w:t>The cost to install NO</w:t>
      </w:r>
      <w:r w:rsidRPr="00D65178">
        <w:rPr>
          <w:vertAlign w:val="subscript"/>
        </w:rPr>
        <w:t>x</w:t>
      </w:r>
      <w:r>
        <w:t xml:space="preserve"> and </w:t>
      </w:r>
      <w:r w:rsidR="00AF3E8D">
        <w:t>SO</w:t>
      </w:r>
      <w:r w:rsidR="00AF3E8D" w:rsidRPr="00AF3E8D">
        <w:rPr>
          <w:vertAlign w:val="subscript"/>
        </w:rPr>
        <w:t>2</w:t>
      </w:r>
      <w:r>
        <w:t xml:space="preserve"> emission controls would require significant facility reconstruction.</w:t>
      </w:r>
      <w:r w:rsidR="009932BF">
        <w:t xml:space="preserve"> </w:t>
      </w:r>
      <w:r>
        <w:t>The Ash Grove facility brochure in [</w:t>
      </w:r>
      <w:r w:rsidRPr="00493E76">
        <w:rPr>
          <w:highlight w:val="yellow"/>
        </w:rPr>
        <w:t>APPENDIX XX</w:t>
      </w:r>
      <w:r>
        <w:t xml:space="preserve">] shows how congested the site is. To create room the emission devices would have to be elevated above the existing facility and would run into area height restrictions. The other option of raising existing plant equipment or positioning </w:t>
      </w:r>
      <w:r w:rsidR="00CF75DA">
        <w:t>the emission control device</w:t>
      </w:r>
      <w:r>
        <w:t xml:space="preserve"> above other equipment would require extensive structural work and would result in the facility shutting down operations</w:t>
      </w:r>
      <w:r w:rsidR="00CF75DA">
        <w:t xml:space="preserve"> during construction and reconfiguring the site</w:t>
      </w:r>
      <w:r>
        <w:t>.</w:t>
      </w:r>
      <w:r w:rsidR="00CF75DA">
        <w:t xml:space="preserve"> This would result in significant additional costs above capital expenditure and operational cost for the emission control equipment.</w:t>
      </w:r>
    </w:p>
    <w:p w14:paraId="4780E5F9" w14:textId="22EFEFB4" w:rsidR="00870F17" w:rsidRPr="00870F17" w:rsidRDefault="00772642" w:rsidP="00140A46">
      <w:pPr>
        <w:pStyle w:val="Paragraph"/>
      </w:pPr>
      <w:r>
        <w:t>T</w:t>
      </w:r>
      <w:r w:rsidR="00870F17">
        <w:t>he lack of technically feasible control equipment</w:t>
      </w:r>
      <w:r w:rsidR="00957CF7">
        <w:t xml:space="preserve">, capital cost of the control </w:t>
      </w:r>
      <w:r w:rsidR="00ED3A2E">
        <w:t>equipment, and</w:t>
      </w:r>
      <w:r>
        <w:t xml:space="preserve"> the</w:t>
      </w:r>
      <w:r w:rsidR="00957CF7">
        <w:t xml:space="preserve"> increased structural cost to install or reconfigure the site </w:t>
      </w:r>
      <w:r>
        <w:t>make additional controls</w:t>
      </w:r>
      <w:r w:rsidR="00957CF7">
        <w:t xml:space="preserve"> unreasonable.</w:t>
      </w:r>
    </w:p>
    <w:p w14:paraId="37036483" w14:textId="77777777" w:rsidR="008146AE" w:rsidRDefault="008146AE" w:rsidP="007A27BE">
      <w:pPr>
        <w:pStyle w:val="Heading6"/>
        <w:rPr>
          <w:shd w:val="clear" w:color="auto" w:fill="FFFFFF"/>
        </w:rPr>
      </w:pPr>
      <w:bookmarkStart w:id="55" w:name="_Toc49863860"/>
      <w:bookmarkStart w:id="56" w:name="_Toc51673352"/>
      <w:r w:rsidRPr="00D41793">
        <w:rPr>
          <w:shd w:val="clear" w:color="auto" w:fill="FFFFFF"/>
        </w:rPr>
        <w:t>Time necessary for compliance</w:t>
      </w:r>
      <w:bookmarkEnd w:id="55"/>
      <w:bookmarkEnd w:id="56"/>
    </w:p>
    <w:p w14:paraId="1833D460" w14:textId="7E9FB261" w:rsidR="00957CF7" w:rsidRPr="00957CF7" w:rsidRDefault="00957CF7" w:rsidP="008622A9">
      <w:pPr>
        <w:pStyle w:val="Paragraph"/>
      </w:pPr>
      <w:r w:rsidRPr="008622A9">
        <w:t>Typical planning periods to design and then install NO</w:t>
      </w:r>
      <w:r w:rsidR="00E831FA">
        <w:rPr>
          <w:vertAlign w:val="subscript"/>
        </w:rPr>
        <w:t>X</w:t>
      </w:r>
      <w:r w:rsidRPr="008622A9">
        <w:t xml:space="preserve"> or SO</w:t>
      </w:r>
      <w:r w:rsidRPr="00C129D7">
        <w:rPr>
          <w:vertAlign w:val="subscript"/>
        </w:rPr>
        <w:t>2</w:t>
      </w:r>
      <w:r w:rsidRPr="008622A9">
        <w:t xml:space="preserve"> controls run from </w:t>
      </w:r>
      <w:r w:rsidR="00BA4901" w:rsidRPr="008622A9">
        <w:t>two</w:t>
      </w:r>
      <w:r w:rsidRPr="008622A9">
        <w:t xml:space="preserve"> to </w:t>
      </w:r>
      <w:r w:rsidR="00BA4901" w:rsidRPr="008622A9">
        <w:t>three</w:t>
      </w:r>
      <w:r w:rsidRPr="008622A9">
        <w:t xml:space="preserve"> years. A tuning period after installation is required to understand the physical operation of the equipment.</w:t>
      </w:r>
      <w:r w:rsidR="009932BF" w:rsidRPr="008622A9">
        <w:t xml:space="preserve"> </w:t>
      </w:r>
      <w:r w:rsidRPr="008622A9">
        <w:t xml:space="preserve">For the Ash Grove facility, the time required to plan and then install any equipment would increase by </w:t>
      </w:r>
      <w:r w:rsidR="00BA4901" w:rsidRPr="008622A9">
        <w:t>one</w:t>
      </w:r>
      <w:r w:rsidRPr="008622A9">
        <w:t xml:space="preserve"> to </w:t>
      </w:r>
      <w:r w:rsidR="00BA4901" w:rsidRPr="008622A9">
        <w:t>two</w:t>
      </w:r>
      <w:r w:rsidRPr="008622A9">
        <w:t xml:space="preserve"> years to allow for extensive</w:t>
      </w:r>
      <w:r>
        <w:t xml:space="preserve"> facility modifications to accommodate any equipment.</w:t>
      </w:r>
    </w:p>
    <w:p w14:paraId="1767381A" w14:textId="77777777" w:rsidR="008146AE" w:rsidRDefault="001D3936" w:rsidP="007A27BE">
      <w:pPr>
        <w:pStyle w:val="Heading6"/>
        <w:rPr>
          <w:shd w:val="clear" w:color="auto" w:fill="FFFFFF"/>
        </w:rPr>
      </w:pPr>
      <w:bookmarkStart w:id="57" w:name="_Toc49863861"/>
      <w:bookmarkStart w:id="58" w:name="_Toc51673353"/>
      <w:r w:rsidRPr="00D41793">
        <w:rPr>
          <w:shd w:val="clear" w:color="auto" w:fill="FFFFFF"/>
        </w:rPr>
        <w:t>Energy and non-air quality environmental impacts of compliance</w:t>
      </w:r>
      <w:bookmarkEnd w:id="57"/>
      <w:bookmarkEnd w:id="58"/>
    </w:p>
    <w:p w14:paraId="6DDFED06" w14:textId="7739CDB3" w:rsidR="00957CF7" w:rsidRDefault="00957CF7" w:rsidP="00140A46">
      <w:pPr>
        <w:pStyle w:val="Paragraph"/>
      </w:pPr>
      <w:r>
        <w:t xml:space="preserve">SCR and </w:t>
      </w:r>
      <w:r w:rsidR="004915F4">
        <w:t>SNCR</w:t>
      </w:r>
      <w:r>
        <w:t xml:space="preserve"> equipment </w:t>
      </w:r>
      <w:r w:rsidR="00123CE2">
        <w:t xml:space="preserve">both </w:t>
      </w:r>
      <w:r>
        <w:t xml:space="preserve">require </w:t>
      </w:r>
      <w:r w:rsidR="00123CE2">
        <w:t>preheating</w:t>
      </w:r>
      <w:r>
        <w:t xml:space="preserve"> the exhaust stream before </w:t>
      </w:r>
      <w:r w:rsidR="002323E2">
        <w:t>entering the SCR or SNCR</w:t>
      </w:r>
      <w:r>
        <w:t>.</w:t>
      </w:r>
      <w:r w:rsidR="009932BF">
        <w:t xml:space="preserve"> </w:t>
      </w:r>
      <w:r>
        <w:t>Preheaters require burning of fuel to generate heat and this would consume additional energy and create additional emissions.</w:t>
      </w:r>
    </w:p>
    <w:p w14:paraId="4294E622" w14:textId="05E5B0FD" w:rsidR="00957CF7" w:rsidRPr="00957CF7" w:rsidRDefault="00957CF7" w:rsidP="00140A46">
      <w:pPr>
        <w:pStyle w:val="Paragraph"/>
      </w:pPr>
      <w:r>
        <w:t>The installation of a wet scrubber for SO</w:t>
      </w:r>
      <w:r w:rsidRPr="007403B1">
        <w:rPr>
          <w:vertAlign w:val="subscript"/>
        </w:rPr>
        <w:t>2</w:t>
      </w:r>
      <w:r>
        <w:t xml:space="preserve"> controls would require obtaining a water </w:t>
      </w:r>
      <w:r w:rsidR="007E5562">
        <w:t xml:space="preserve">quality </w:t>
      </w:r>
      <w:r>
        <w:t>permit for use with the liquid in the wet scrubber. Depend</w:t>
      </w:r>
      <w:r w:rsidR="00ED3A2E">
        <w:t>ing</w:t>
      </w:r>
      <w:r>
        <w:t xml:space="preserve"> on the permit requirements, </w:t>
      </w:r>
      <w:r w:rsidR="00ED3A2E">
        <w:t xml:space="preserve">the facility could need </w:t>
      </w:r>
      <w:r>
        <w:t>additional energy</w:t>
      </w:r>
      <w:r w:rsidR="00E02730">
        <w:t xml:space="preserve"> </w:t>
      </w:r>
      <w:r>
        <w:t>to treat the liquid from the wet scrubber before discharge off-site.</w:t>
      </w:r>
    </w:p>
    <w:p w14:paraId="654D7001" w14:textId="77777777" w:rsidR="001D3936" w:rsidRDefault="001D3936" w:rsidP="007A27BE">
      <w:pPr>
        <w:pStyle w:val="Heading6"/>
        <w:rPr>
          <w:shd w:val="clear" w:color="auto" w:fill="FFFFFF"/>
        </w:rPr>
      </w:pPr>
      <w:bookmarkStart w:id="59" w:name="_Toc49863862"/>
      <w:bookmarkStart w:id="60" w:name="_Toc51673354"/>
      <w:r w:rsidRPr="00D41793">
        <w:rPr>
          <w:shd w:val="clear" w:color="auto" w:fill="FFFFFF"/>
        </w:rPr>
        <w:t>Remaining useful life of any potentially affected sources</w:t>
      </w:r>
      <w:bookmarkEnd w:id="59"/>
      <w:bookmarkEnd w:id="60"/>
    </w:p>
    <w:p w14:paraId="66CEC568" w14:textId="77777777" w:rsidR="00957CF7" w:rsidRPr="00957CF7" w:rsidRDefault="00957CF7" w:rsidP="00140A46">
      <w:pPr>
        <w:pStyle w:val="Paragraph"/>
      </w:pPr>
      <w:r>
        <w:t>Proper maintenance of this facility should allow it to continue operations well into the future</w:t>
      </w:r>
      <w:r w:rsidR="007227D2">
        <w:t>.</w:t>
      </w:r>
    </w:p>
    <w:p w14:paraId="59E09112" w14:textId="77777777" w:rsidR="009E6F97" w:rsidRDefault="009E6F97" w:rsidP="009E6F97">
      <w:pPr>
        <w:pStyle w:val="Heading5"/>
      </w:pPr>
      <w:bookmarkStart w:id="61" w:name="_Toc51673355"/>
      <w:bookmarkStart w:id="62" w:name="_Toc51674404"/>
      <w:r>
        <w:t>Summary and preliminary recommendations</w:t>
      </w:r>
      <w:bookmarkEnd w:id="61"/>
      <w:bookmarkEnd w:id="62"/>
    </w:p>
    <w:p w14:paraId="68E1B93C" w14:textId="172A45BE" w:rsidR="00E87A4B" w:rsidRDefault="009E6F97" w:rsidP="00140A46">
      <w:pPr>
        <w:pStyle w:val="Paragraph"/>
      </w:pPr>
      <w:r>
        <w:t xml:space="preserve"> </w:t>
      </w:r>
      <w:r w:rsidR="007227D2">
        <w:t xml:space="preserve">Ecology recommends no additional </w:t>
      </w:r>
      <w:r w:rsidR="00E87A4B">
        <w:t xml:space="preserve">installation of </w:t>
      </w:r>
      <w:r w:rsidR="007227D2">
        <w:t>emission control equipmen</w:t>
      </w:r>
      <w:r w:rsidR="00E87A4B">
        <w:t>t</w:t>
      </w:r>
      <w:r w:rsidR="007227D2">
        <w:t>.</w:t>
      </w:r>
      <w:r w:rsidR="009932BF">
        <w:t xml:space="preserve"> </w:t>
      </w:r>
      <w:r w:rsidR="007227D2">
        <w:t>This recommendation is a result of</w:t>
      </w:r>
      <w:r w:rsidR="00E87A4B">
        <w:t>:</w:t>
      </w:r>
    </w:p>
    <w:p w14:paraId="22D94DC2" w14:textId="7AB5C3DE" w:rsidR="00E87A4B" w:rsidRDefault="00E87A4B" w:rsidP="0037624F">
      <w:pPr>
        <w:pStyle w:val="BulletedList"/>
      </w:pPr>
      <w:r>
        <w:lastRenderedPageBreak/>
        <w:t>T</w:t>
      </w:r>
      <w:r w:rsidR="007227D2">
        <w:t xml:space="preserve">he unreasonable cost to install equipment </w:t>
      </w:r>
      <w:r>
        <w:t>due to the</w:t>
      </w:r>
      <w:r w:rsidR="007227D2">
        <w:t xml:space="preserve"> confined space at the site </w:t>
      </w:r>
    </w:p>
    <w:p w14:paraId="24A733DE" w14:textId="26437E53" w:rsidR="00E87A4B" w:rsidRDefault="00E87A4B" w:rsidP="0037624F">
      <w:pPr>
        <w:pStyle w:val="BulletedList"/>
      </w:pPr>
      <w:r>
        <w:t>T</w:t>
      </w:r>
      <w:r w:rsidR="007227D2">
        <w:t xml:space="preserve">he recent upgrade of </w:t>
      </w:r>
      <w:r w:rsidR="004915F4">
        <w:t>PM</w:t>
      </w:r>
      <w:r w:rsidR="007227D2">
        <w:t xml:space="preserve"> controls at the site </w:t>
      </w:r>
    </w:p>
    <w:p w14:paraId="08D658C3" w14:textId="530B0EF4" w:rsidR="007227D2" w:rsidRDefault="00E87A4B" w:rsidP="0037624F">
      <w:pPr>
        <w:pStyle w:val="BulletedList"/>
      </w:pPr>
      <w:r>
        <w:t>T</w:t>
      </w:r>
      <w:r w:rsidR="007227D2">
        <w:t>he recent consent decree that looked at SO</w:t>
      </w:r>
      <w:r w:rsidR="007227D2" w:rsidRPr="009766E9">
        <w:rPr>
          <w:vertAlign w:val="subscript"/>
        </w:rPr>
        <w:t>2</w:t>
      </w:r>
      <w:r w:rsidR="007227D2">
        <w:t>, NO</w:t>
      </w:r>
      <w:r w:rsidR="009766E9">
        <w:rPr>
          <w:vertAlign w:val="subscript"/>
        </w:rPr>
        <w:t>X</w:t>
      </w:r>
      <w:r w:rsidR="007227D2">
        <w:t xml:space="preserve">, and </w:t>
      </w:r>
      <w:r w:rsidR="004915F4">
        <w:t xml:space="preserve">PM </w:t>
      </w:r>
      <w:r w:rsidR="007227D2">
        <w:t>emissions.</w:t>
      </w:r>
    </w:p>
    <w:p w14:paraId="2217F600" w14:textId="342885E0" w:rsidR="007227D2" w:rsidRDefault="007227D2" w:rsidP="00140A46">
      <w:pPr>
        <w:pStyle w:val="Paragraph"/>
      </w:pPr>
      <w:r>
        <w:t>Ecology</w:t>
      </w:r>
      <w:r w:rsidR="002323E2">
        <w:t xml:space="preserve"> may consider</w:t>
      </w:r>
      <w:r>
        <w:t xml:space="preserve"> </w:t>
      </w:r>
      <w:r w:rsidR="00AD3B90">
        <w:t>selecting</w:t>
      </w:r>
      <w:r>
        <w:t xml:space="preserve"> this facility</w:t>
      </w:r>
      <w:r w:rsidR="00E02730">
        <w:t xml:space="preserve"> </w:t>
      </w:r>
      <w:r>
        <w:t>for evaluation during the next RH evaluation.</w:t>
      </w:r>
      <w:r w:rsidR="009932BF">
        <w:t xml:space="preserve"> </w:t>
      </w:r>
      <w:r>
        <w:t xml:space="preserve">The evaluation should look at </w:t>
      </w:r>
      <w:r w:rsidR="001E255C">
        <w:t>SO</w:t>
      </w:r>
      <w:r w:rsidR="001E255C" w:rsidRPr="00AF3E8D">
        <w:rPr>
          <w:vertAlign w:val="subscript"/>
        </w:rPr>
        <w:t>2</w:t>
      </w:r>
      <w:r>
        <w:t xml:space="preserve"> emissions reductions by removing the option to combust coal and waste oils at the facility.</w:t>
      </w:r>
      <w:r w:rsidR="009932BF">
        <w:t xml:space="preserve"> </w:t>
      </w:r>
      <w:r>
        <w:t xml:space="preserve">With </w:t>
      </w:r>
      <w:r w:rsidR="00F6206E">
        <w:t>the lack of coal use</w:t>
      </w:r>
      <w:r>
        <w:t xml:space="preserve"> for the last couple of years, it shows that it is feasible to use non-coal sources of energy.</w:t>
      </w:r>
    </w:p>
    <w:p w14:paraId="0C452A95" w14:textId="77777777" w:rsidR="0024237D" w:rsidRDefault="0024237D" w:rsidP="00C2335A">
      <w:pPr>
        <w:pStyle w:val="Heading4"/>
      </w:pPr>
      <w:bookmarkStart w:id="63" w:name="_Toc49523836"/>
      <w:bookmarkStart w:id="64" w:name="_Toc49863864"/>
      <w:bookmarkStart w:id="65" w:name="_Toc51673356"/>
      <w:bookmarkStart w:id="66" w:name="_Toc51674405"/>
      <w:r>
        <w:t>Cardinal Glass</w:t>
      </w:r>
      <w:bookmarkEnd w:id="63"/>
      <w:bookmarkEnd w:id="64"/>
      <w:bookmarkEnd w:id="65"/>
      <w:bookmarkEnd w:id="66"/>
    </w:p>
    <w:p w14:paraId="6967DB04" w14:textId="4D85E1FB" w:rsidR="00706F3E" w:rsidRDefault="0024237D" w:rsidP="0024237D">
      <w:pPr>
        <w:pStyle w:val="Paragraph"/>
      </w:pPr>
      <w:r>
        <w:t xml:space="preserve">Cardinal FG Company Winlock (Cardinal) operates a flat glass manufacturing plant </w:t>
      </w:r>
      <w:r w:rsidR="00706F3E">
        <w:t xml:space="preserve">in Winlock, </w:t>
      </w:r>
      <w:r>
        <w:t>near the intersection of Avery Road and Highway 603</w:t>
      </w:r>
      <w:r w:rsidR="00706F3E">
        <w:t>,</w:t>
      </w:r>
      <w:r>
        <w:t xml:space="preserve"> in </w:t>
      </w:r>
      <w:r w:rsidR="00706F3E">
        <w:t>Lewis County</w:t>
      </w:r>
      <w:r>
        <w:t xml:space="preserve">, Washington. In 2019, Cardinal contacted Southwest Clean Air </w:t>
      </w:r>
      <w:r w:rsidRPr="00DC4EAE">
        <w:t xml:space="preserve">Agency (SWCAA) </w:t>
      </w:r>
      <w:r w:rsidR="00772642">
        <w:t xml:space="preserve">and </w:t>
      </w:r>
      <w:r w:rsidRPr="00DC4EAE">
        <w:t>propos</w:t>
      </w:r>
      <w:r w:rsidR="00772642">
        <w:t>ed</w:t>
      </w:r>
      <w:r w:rsidRPr="00DC4EAE">
        <w:t xml:space="preserve"> increas</w:t>
      </w:r>
      <w:r w:rsidR="00772642">
        <w:t>ing</w:t>
      </w:r>
      <w:r w:rsidRPr="00DC4EAE">
        <w:t xml:space="preserve"> production and add</w:t>
      </w:r>
      <w:r w:rsidR="00772642">
        <w:t>ing</w:t>
      </w:r>
      <w:r w:rsidRPr="00DC4EAE">
        <w:t xml:space="preserve"> </w:t>
      </w:r>
      <w:r w:rsidR="00766706">
        <w:t>SCR</w:t>
      </w:r>
      <w:r w:rsidR="001E255C">
        <w:t xml:space="preserve"> </w:t>
      </w:r>
      <w:r w:rsidR="00772642">
        <w:t>c</w:t>
      </w:r>
      <w:r w:rsidR="001E255C">
        <w:t>ontrols to reduce NO</w:t>
      </w:r>
      <w:r w:rsidR="001E255C" w:rsidRPr="001E255C">
        <w:rPr>
          <w:vertAlign w:val="subscript"/>
        </w:rPr>
        <w:t>X</w:t>
      </w:r>
      <w:r w:rsidRPr="00DC4EAE">
        <w:t xml:space="preserve"> emissions. </w:t>
      </w:r>
    </w:p>
    <w:p w14:paraId="03BB0479" w14:textId="14BE662D" w:rsidR="00614DC0" w:rsidRDefault="0024237D" w:rsidP="0024237D">
      <w:pPr>
        <w:pStyle w:val="Paragraph"/>
      </w:pPr>
      <w:r w:rsidRPr="00DC4EAE">
        <w:t xml:space="preserve">Cardinal submitted a permit modification application to SWCAA to install a SCR emission control device and increase production of plate glass. The application also proposed removing the current emission controls of limiting excess </w:t>
      </w:r>
      <w:r w:rsidRPr="002323E2">
        <w:t xml:space="preserve">oxygen. SWCAA </w:t>
      </w:r>
      <w:r w:rsidR="002323E2" w:rsidRPr="002323E2">
        <w:t xml:space="preserve">is working with the facility to issue a permit </w:t>
      </w:r>
      <w:r w:rsidRPr="002323E2">
        <w:t xml:space="preserve">to add SCR to the existing plant. </w:t>
      </w:r>
    </w:p>
    <w:p w14:paraId="547F3BAB" w14:textId="6F329CEC" w:rsidR="0024237D" w:rsidRDefault="0024237D" w:rsidP="0024237D">
      <w:pPr>
        <w:pStyle w:val="Paragraph"/>
      </w:pPr>
      <w:r w:rsidRPr="00DC4EAE">
        <w:t xml:space="preserve">Ecology identified Cardinal in the Q/d analysis as a facility to review under the </w:t>
      </w:r>
      <w:r w:rsidR="00C67AFF">
        <w:t>RH</w:t>
      </w:r>
      <w:r>
        <w:t xml:space="preserve"> program. On January 17, 2020, Cardinal FG Company submitted a Four Factor analysis.</w:t>
      </w:r>
    </w:p>
    <w:p w14:paraId="7998D6E8" w14:textId="1F54FC3B" w:rsidR="0024237D" w:rsidRDefault="0024237D" w:rsidP="0025114A">
      <w:pPr>
        <w:pStyle w:val="Heading5"/>
        <w:spacing w:after="240"/>
      </w:pPr>
      <w:bookmarkStart w:id="67" w:name="_Toc51673357"/>
      <w:bookmarkStart w:id="68" w:name="_Toc51674406"/>
      <w:r w:rsidRPr="00DC4EAE">
        <w:t>Four</w:t>
      </w:r>
      <w:r w:rsidR="00C96537">
        <w:t>-factor a</w:t>
      </w:r>
      <w:r w:rsidRPr="00DC4EAE">
        <w:t>nalysis</w:t>
      </w:r>
      <w:bookmarkEnd w:id="67"/>
      <w:bookmarkEnd w:id="68"/>
    </w:p>
    <w:p w14:paraId="4F41D377" w14:textId="6280A6C5" w:rsidR="00A601E3" w:rsidRDefault="00A601E3" w:rsidP="00A601E3">
      <w:pPr>
        <w:pStyle w:val="Paragraph"/>
      </w:pPr>
      <w:r>
        <w:t>Cardinal FG Company Winlock submitted an application to SWCAA to modify the facility’</w:t>
      </w:r>
      <w:r w:rsidR="00903E09">
        <w:t>s</w:t>
      </w:r>
      <w:r>
        <w:t xml:space="preserve"> permit. The modification requested:</w:t>
      </w:r>
    </w:p>
    <w:p w14:paraId="2B5A50AD" w14:textId="77777777" w:rsidR="00A601E3" w:rsidRDefault="00A601E3" w:rsidP="00A601E3">
      <w:pPr>
        <w:pStyle w:val="BulletedList"/>
        <w:numPr>
          <w:ilvl w:val="0"/>
          <w:numId w:val="2"/>
        </w:numPr>
      </w:pPr>
      <w:r>
        <w:t>Installation of a SCR system to control NO</w:t>
      </w:r>
      <w:r w:rsidRPr="001E255C">
        <w:rPr>
          <w:vertAlign w:val="subscript"/>
        </w:rPr>
        <w:t>X</w:t>
      </w:r>
      <w:r>
        <w:t xml:space="preserve"> emissions from the glass furnace;</w:t>
      </w:r>
    </w:p>
    <w:p w14:paraId="42D5CB86" w14:textId="77777777" w:rsidR="00A601E3" w:rsidRDefault="00A601E3" w:rsidP="00A601E3">
      <w:pPr>
        <w:pStyle w:val="BulletedList"/>
        <w:numPr>
          <w:ilvl w:val="0"/>
          <w:numId w:val="2"/>
        </w:numPr>
      </w:pPr>
      <w:r>
        <w:t>Increase in rated furnace production from 650 tpd to 750 tpd;</w:t>
      </w:r>
    </w:p>
    <w:p w14:paraId="1EEDA2E2" w14:textId="77777777" w:rsidR="00A601E3" w:rsidRDefault="00A601E3" w:rsidP="00A601E3">
      <w:pPr>
        <w:pStyle w:val="BulletedList"/>
        <w:numPr>
          <w:ilvl w:val="0"/>
          <w:numId w:val="2"/>
        </w:numPr>
      </w:pPr>
      <w:r>
        <w:t>Removal of SCR from Emergency Generator #1;</w:t>
      </w:r>
    </w:p>
    <w:p w14:paraId="1D8E6B5B" w14:textId="77777777" w:rsidR="00A601E3" w:rsidRDefault="00A601E3" w:rsidP="00A601E3">
      <w:pPr>
        <w:pStyle w:val="BulletedList"/>
        <w:numPr>
          <w:ilvl w:val="0"/>
          <w:numId w:val="2"/>
        </w:numPr>
      </w:pPr>
      <w:r>
        <w:t>Installation of a new emergency generator; and</w:t>
      </w:r>
    </w:p>
    <w:p w14:paraId="7BB93ED2" w14:textId="77777777" w:rsidR="00A601E3" w:rsidRDefault="00A601E3" w:rsidP="00A601E3">
      <w:pPr>
        <w:pStyle w:val="BulletedList"/>
        <w:numPr>
          <w:ilvl w:val="0"/>
          <w:numId w:val="2"/>
        </w:numPr>
      </w:pPr>
      <w:r>
        <w:t>Establishment of voluntary emission limits at levels below major source thresholds.</w:t>
      </w:r>
    </w:p>
    <w:p w14:paraId="0CAC0A69" w14:textId="1EF4624D" w:rsidR="00A601E3" w:rsidRDefault="00A601E3" w:rsidP="00A601E3">
      <w:pPr>
        <w:pStyle w:val="Paragraph"/>
      </w:pPr>
      <w:r>
        <w:t>The use of the current emission control system (</w:t>
      </w:r>
      <w:r w:rsidR="00D71BE9">
        <w:t xml:space="preserve">a proprietary </w:t>
      </w:r>
      <w:r>
        <w:t>3R Process) will cease once the SCR system commences operation. The facility will also install a new supplemental hea</w:t>
      </w:r>
      <w:r w:rsidR="00610458">
        <w:t>ter between the Electrostatic Pre</w:t>
      </w:r>
      <w:r>
        <w:t>cipitator (ESP) and the SCR system.</w:t>
      </w:r>
      <w:r w:rsidR="00E02730">
        <w:t xml:space="preserve"> </w:t>
      </w:r>
      <w:r>
        <w:t>This heater will raise the exhaust stream temperatures to the range required for proper SCR operation.</w:t>
      </w:r>
    </w:p>
    <w:p w14:paraId="504292CE" w14:textId="4D6D537C" w:rsidR="0096088C" w:rsidRDefault="00417173" w:rsidP="00C530A1">
      <w:pPr>
        <w:pStyle w:val="Paragraph"/>
      </w:pPr>
      <w:r>
        <w:lastRenderedPageBreak/>
        <w:t>Table 3 shows the emissions from, in tons and by pollutant, after the requested modification is complete. The table also shows the change in emissions from the current permit’s values to the requested modified permit’s values</w:t>
      </w:r>
      <w:r w:rsidR="000031B7">
        <w:t>.</w:t>
      </w:r>
    </w:p>
    <w:p w14:paraId="7C0A61C0" w14:textId="050B39B4" w:rsidR="00396A5E" w:rsidRDefault="00396A5E" w:rsidP="00810C9B">
      <w:pPr>
        <w:pStyle w:val="Caption"/>
        <w:keepNext/>
        <w:spacing w:after="0"/>
      </w:pPr>
      <w:bookmarkStart w:id="69" w:name="_Toc51675374"/>
      <w:r>
        <w:t xml:space="preserve">Table </w:t>
      </w:r>
      <w:fldSimple w:instr=" SEQ Table \* ARABIC ">
        <w:r>
          <w:t>3</w:t>
        </w:r>
      </w:fldSimple>
      <w:r>
        <w:t xml:space="preserve">: </w:t>
      </w:r>
      <w:r w:rsidRPr="00143261">
        <w:t>Emissions summary</w:t>
      </w:r>
      <w:bookmarkEnd w:id="69"/>
    </w:p>
    <w:tbl>
      <w:tblPr>
        <w:tblStyle w:val="TableGrid"/>
        <w:tblpPr w:leftFromText="180" w:rightFromText="180" w:vertAnchor="text" w:horzAnchor="margin" w:tblpY="29"/>
        <w:tblW w:w="9535" w:type="dxa"/>
        <w:tblLook w:val="04A0" w:firstRow="1" w:lastRow="0" w:firstColumn="1" w:lastColumn="0" w:noHBand="0" w:noVBand="1"/>
      </w:tblPr>
      <w:tblGrid>
        <w:gridCol w:w="2065"/>
        <w:gridCol w:w="4168"/>
        <w:gridCol w:w="3302"/>
      </w:tblGrid>
      <w:tr w:rsidR="00417173" w14:paraId="243AD32F" w14:textId="77777777" w:rsidTr="000031B7">
        <w:trPr>
          <w:trHeight w:val="432"/>
          <w:tblHeader/>
        </w:trPr>
        <w:tc>
          <w:tcPr>
            <w:tcW w:w="2065" w:type="dxa"/>
            <w:vAlign w:val="center"/>
          </w:tcPr>
          <w:p w14:paraId="107D7FE2" w14:textId="77777777" w:rsidR="00417173" w:rsidRPr="007C27ED" w:rsidRDefault="00417173" w:rsidP="000031B7">
            <w:pPr>
              <w:pStyle w:val="TableParagraph"/>
              <w:jc w:val="center"/>
              <w:rPr>
                <w:b/>
              </w:rPr>
            </w:pPr>
            <w:r>
              <w:rPr>
                <w:b/>
              </w:rPr>
              <w:t>Pollutant</w:t>
            </w:r>
          </w:p>
        </w:tc>
        <w:tc>
          <w:tcPr>
            <w:tcW w:w="4168" w:type="dxa"/>
            <w:vAlign w:val="center"/>
          </w:tcPr>
          <w:p w14:paraId="399FCBCE" w14:textId="77777777" w:rsidR="00417173" w:rsidRPr="007C27ED" w:rsidRDefault="00417173" w:rsidP="000031B7">
            <w:pPr>
              <w:pStyle w:val="TableParagraph"/>
              <w:jc w:val="center"/>
              <w:rPr>
                <w:b/>
              </w:rPr>
            </w:pPr>
            <w:r w:rsidRPr="007C27ED">
              <w:rPr>
                <w:b/>
              </w:rPr>
              <w:t>Facility</w:t>
            </w:r>
            <w:r>
              <w:rPr>
                <w:b/>
              </w:rPr>
              <w:t>-</w:t>
            </w:r>
            <w:r w:rsidRPr="007C27ED">
              <w:rPr>
                <w:b/>
              </w:rPr>
              <w:t>wide Potential to Emit</w:t>
            </w:r>
            <w:r>
              <w:rPr>
                <w:b/>
              </w:rPr>
              <w:t xml:space="preserve"> after permit modification</w:t>
            </w:r>
          </w:p>
        </w:tc>
        <w:tc>
          <w:tcPr>
            <w:tcW w:w="3302" w:type="dxa"/>
            <w:vAlign w:val="center"/>
          </w:tcPr>
          <w:p w14:paraId="425A7B59" w14:textId="77777777" w:rsidR="00417173" w:rsidRPr="007C27ED" w:rsidRDefault="00417173" w:rsidP="000031B7">
            <w:pPr>
              <w:pStyle w:val="TableParagraph"/>
              <w:jc w:val="center"/>
              <w:rPr>
                <w:b/>
              </w:rPr>
            </w:pPr>
            <w:r w:rsidRPr="007C27ED">
              <w:rPr>
                <w:b/>
              </w:rPr>
              <w:t xml:space="preserve">Pollutant Emissions </w:t>
            </w:r>
            <w:r>
              <w:rPr>
                <w:b/>
              </w:rPr>
              <w:t>change between current limits and permit modification limits</w:t>
            </w:r>
          </w:p>
        </w:tc>
      </w:tr>
      <w:tr w:rsidR="00417173" w14:paraId="5B2B7A73" w14:textId="77777777" w:rsidTr="000031B7">
        <w:trPr>
          <w:trHeight w:val="432"/>
        </w:trPr>
        <w:tc>
          <w:tcPr>
            <w:tcW w:w="2065" w:type="dxa"/>
            <w:vAlign w:val="center"/>
          </w:tcPr>
          <w:p w14:paraId="7FC48158" w14:textId="77777777" w:rsidR="00417173" w:rsidRDefault="00417173" w:rsidP="000031B7">
            <w:pPr>
              <w:pStyle w:val="TableParagraph"/>
              <w:jc w:val="right"/>
            </w:pPr>
            <w:r>
              <w:t>NO</w:t>
            </w:r>
            <w:r w:rsidRPr="001E255C">
              <w:rPr>
                <w:vertAlign w:val="subscript"/>
              </w:rPr>
              <w:t>X</w:t>
            </w:r>
          </w:p>
        </w:tc>
        <w:tc>
          <w:tcPr>
            <w:tcW w:w="4168" w:type="dxa"/>
            <w:vAlign w:val="center"/>
          </w:tcPr>
          <w:p w14:paraId="30A313EA" w14:textId="77777777" w:rsidR="00417173" w:rsidRDefault="00417173" w:rsidP="000031B7">
            <w:pPr>
              <w:pStyle w:val="TableParagraph"/>
              <w:jc w:val="right"/>
            </w:pPr>
            <w:r>
              <w:t>249.62 tpy</w:t>
            </w:r>
          </w:p>
        </w:tc>
        <w:tc>
          <w:tcPr>
            <w:tcW w:w="3302" w:type="dxa"/>
            <w:vAlign w:val="center"/>
          </w:tcPr>
          <w:p w14:paraId="7B3FD717" w14:textId="77777777" w:rsidR="00417173" w:rsidRDefault="00417173" w:rsidP="000031B7">
            <w:pPr>
              <w:pStyle w:val="TableParagraph"/>
              <w:jc w:val="right"/>
            </w:pPr>
            <w:r>
              <w:t>-583.05 tpy</w:t>
            </w:r>
          </w:p>
        </w:tc>
      </w:tr>
      <w:tr w:rsidR="00417173" w14:paraId="5C00E259" w14:textId="77777777" w:rsidTr="000031B7">
        <w:trPr>
          <w:trHeight w:val="432"/>
        </w:trPr>
        <w:tc>
          <w:tcPr>
            <w:tcW w:w="2065" w:type="dxa"/>
            <w:vAlign w:val="center"/>
          </w:tcPr>
          <w:p w14:paraId="2E05799A" w14:textId="77777777" w:rsidR="00417173" w:rsidRDefault="00417173" w:rsidP="000031B7">
            <w:pPr>
              <w:pStyle w:val="TableParagraph"/>
              <w:jc w:val="right"/>
            </w:pPr>
            <w:r>
              <w:t>CO</w:t>
            </w:r>
          </w:p>
        </w:tc>
        <w:tc>
          <w:tcPr>
            <w:tcW w:w="4168" w:type="dxa"/>
            <w:vAlign w:val="center"/>
          </w:tcPr>
          <w:p w14:paraId="2316CB09" w14:textId="77777777" w:rsidR="00417173" w:rsidRDefault="00417173" w:rsidP="000031B7">
            <w:pPr>
              <w:pStyle w:val="TableParagraph"/>
              <w:jc w:val="right"/>
            </w:pPr>
            <w:r>
              <w:t>249.00 tpy</w:t>
            </w:r>
          </w:p>
        </w:tc>
        <w:tc>
          <w:tcPr>
            <w:tcW w:w="3302" w:type="dxa"/>
            <w:vAlign w:val="center"/>
          </w:tcPr>
          <w:p w14:paraId="3C77D3B0" w14:textId="77777777" w:rsidR="00417173" w:rsidRDefault="00417173" w:rsidP="000031B7">
            <w:pPr>
              <w:pStyle w:val="TableParagraph"/>
              <w:jc w:val="right"/>
            </w:pPr>
            <w:r>
              <w:t>-522.48 tpy</w:t>
            </w:r>
          </w:p>
        </w:tc>
      </w:tr>
      <w:tr w:rsidR="00417173" w14:paraId="470D8CE9" w14:textId="77777777" w:rsidTr="000031B7">
        <w:trPr>
          <w:trHeight w:val="432"/>
        </w:trPr>
        <w:tc>
          <w:tcPr>
            <w:tcW w:w="2065" w:type="dxa"/>
            <w:vAlign w:val="center"/>
          </w:tcPr>
          <w:p w14:paraId="28F86140" w14:textId="77777777" w:rsidR="00417173" w:rsidRDefault="00417173" w:rsidP="000031B7">
            <w:pPr>
              <w:pStyle w:val="TableParagraph"/>
              <w:jc w:val="right"/>
            </w:pPr>
            <w:r>
              <w:t>VOC</w:t>
            </w:r>
          </w:p>
        </w:tc>
        <w:tc>
          <w:tcPr>
            <w:tcW w:w="4168" w:type="dxa"/>
            <w:vAlign w:val="center"/>
          </w:tcPr>
          <w:p w14:paraId="5BB7A3D3" w14:textId="77777777" w:rsidR="00417173" w:rsidRDefault="00417173" w:rsidP="000031B7">
            <w:pPr>
              <w:pStyle w:val="TableParagraph"/>
              <w:jc w:val="right"/>
            </w:pPr>
            <w:r>
              <w:t>57.79 tpy</w:t>
            </w:r>
          </w:p>
        </w:tc>
        <w:tc>
          <w:tcPr>
            <w:tcW w:w="3302" w:type="dxa"/>
            <w:vAlign w:val="center"/>
          </w:tcPr>
          <w:p w14:paraId="2F14ABBF" w14:textId="77777777" w:rsidR="00417173" w:rsidRDefault="00417173" w:rsidP="000031B7">
            <w:pPr>
              <w:pStyle w:val="TableParagraph"/>
              <w:jc w:val="right"/>
            </w:pPr>
            <w:r>
              <w:t>1.92 tpy</w:t>
            </w:r>
          </w:p>
        </w:tc>
      </w:tr>
      <w:tr w:rsidR="00417173" w14:paraId="4613A313" w14:textId="77777777" w:rsidTr="000031B7">
        <w:trPr>
          <w:trHeight w:val="432"/>
        </w:trPr>
        <w:tc>
          <w:tcPr>
            <w:tcW w:w="2065" w:type="dxa"/>
            <w:vAlign w:val="center"/>
          </w:tcPr>
          <w:p w14:paraId="6DE3AE45" w14:textId="77777777" w:rsidR="00417173" w:rsidRDefault="00417173" w:rsidP="000031B7">
            <w:pPr>
              <w:pStyle w:val="TableParagraph"/>
              <w:jc w:val="right"/>
            </w:pPr>
            <w:r>
              <w:t>SO</w:t>
            </w:r>
            <w:r w:rsidRPr="00E97A00">
              <w:rPr>
                <w:vertAlign w:val="subscript"/>
              </w:rPr>
              <w:t>2</w:t>
            </w:r>
          </w:p>
        </w:tc>
        <w:tc>
          <w:tcPr>
            <w:tcW w:w="4168" w:type="dxa"/>
            <w:vAlign w:val="center"/>
          </w:tcPr>
          <w:p w14:paraId="52A16EEC" w14:textId="77777777" w:rsidR="00417173" w:rsidRDefault="00417173" w:rsidP="000031B7">
            <w:pPr>
              <w:pStyle w:val="TableParagraph"/>
              <w:jc w:val="right"/>
            </w:pPr>
            <w:r>
              <w:t>114.21 tpy</w:t>
            </w:r>
          </w:p>
        </w:tc>
        <w:tc>
          <w:tcPr>
            <w:tcW w:w="3302" w:type="dxa"/>
            <w:vAlign w:val="center"/>
          </w:tcPr>
          <w:p w14:paraId="16293645" w14:textId="77777777" w:rsidR="00417173" w:rsidRDefault="00417173" w:rsidP="000031B7">
            <w:pPr>
              <w:pStyle w:val="TableParagraph"/>
              <w:jc w:val="right"/>
            </w:pPr>
            <w:r>
              <w:t>41.75 tpy</w:t>
            </w:r>
          </w:p>
        </w:tc>
      </w:tr>
      <w:tr w:rsidR="00417173" w14:paraId="3A336B3E" w14:textId="77777777" w:rsidTr="000031B7">
        <w:trPr>
          <w:trHeight w:val="432"/>
        </w:trPr>
        <w:tc>
          <w:tcPr>
            <w:tcW w:w="2065" w:type="dxa"/>
            <w:vAlign w:val="center"/>
          </w:tcPr>
          <w:p w14:paraId="7A63D79B" w14:textId="77777777" w:rsidR="00417173" w:rsidRDefault="00417173" w:rsidP="000031B7">
            <w:pPr>
              <w:pStyle w:val="TableParagraph"/>
              <w:jc w:val="right"/>
            </w:pPr>
            <w:r>
              <w:t>PM</w:t>
            </w:r>
          </w:p>
        </w:tc>
        <w:tc>
          <w:tcPr>
            <w:tcW w:w="4168" w:type="dxa"/>
            <w:vAlign w:val="center"/>
          </w:tcPr>
          <w:p w14:paraId="63534EFE" w14:textId="77777777" w:rsidR="00417173" w:rsidRDefault="00417173" w:rsidP="000031B7">
            <w:pPr>
              <w:pStyle w:val="TableParagraph"/>
              <w:jc w:val="right"/>
            </w:pPr>
            <w:r>
              <w:t>141.96 tpy</w:t>
            </w:r>
          </w:p>
        </w:tc>
        <w:tc>
          <w:tcPr>
            <w:tcW w:w="3302" w:type="dxa"/>
            <w:vAlign w:val="center"/>
          </w:tcPr>
          <w:p w14:paraId="0E0A3F84" w14:textId="77777777" w:rsidR="00417173" w:rsidRDefault="00417173" w:rsidP="000031B7">
            <w:pPr>
              <w:pStyle w:val="TableParagraph"/>
              <w:jc w:val="right"/>
            </w:pPr>
            <w:r>
              <w:t>16.84 tpy</w:t>
            </w:r>
          </w:p>
        </w:tc>
      </w:tr>
      <w:tr w:rsidR="00417173" w14:paraId="1172849B" w14:textId="77777777" w:rsidTr="000031B7">
        <w:trPr>
          <w:trHeight w:val="432"/>
        </w:trPr>
        <w:tc>
          <w:tcPr>
            <w:tcW w:w="2065" w:type="dxa"/>
            <w:vAlign w:val="center"/>
          </w:tcPr>
          <w:p w14:paraId="61A5FD84" w14:textId="77777777" w:rsidR="00417173" w:rsidRDefault="00417173" w:rsidP="000031B7">
            <w:pPr>
              <w:pStyle w:val="TableParagraph"/>
              <w:jc w:val="right"/>
            </w:pPr>
            <w:r>
              <w:t>PM</w:t>
            </w:r>
            <w:r w:rsidRPr="00E97A00">
              <w:rPr>
                <w:vertAlign w:val="subscript"/>
              </w:rPr>
              <w:t>10</w:t>
            </w:r>
          </w:p>
        </w:tc>
        <w:tc>
          <w:tcPr>
            <w:tcW w:w="4168" w:type="dxa"/>
            <w:vAlign w:val="center"/>
          </w:tcPr>
          <w:p w14:paraId="37FBA28C" w14:textId="77777777" w:rsidR="00417173" w:rsidRDefault="00417173" w:rsidP="000031B7">
            <w:pPr>
              <w:pStyle w:val="TableParagraph"/>
              <w:jc w:val="right"/>
            </w:pPr>
            <w:r>
              <w:t>141.96 tpy</w:t>
            </w:r>
          </w:p>
        </w:tc>
        <w:tc>
          <w:tcPr>
            <w:tcW w:w="3302" w:type="dxa"/>
            <w:vAlign w:val="center"/>
          </w:tcPr>
          <w:p w14:paraId="4B97966C" w14:textId="77777777" w:rsidR="00417173" w:rsidRDefault="00417173" w:rsidP="000031B7">
            <w:pPr>
              <w:pStyle w:val="TableParagraph"/>
              <w:jc w:val="right"/>
            </w:pPr>
            <w:r>
              <w:t>6.84 tpy</w:t>
            </w:r>
          </w:p>
        </w:tc>
      </w:tr>
      <w:tr w:rsidR="00417173" w14:paraId="4C517708" w14:textId="77777777" w:rsidTr="000031B7">
        <w:trPr>
          <w:trHeight w:val="432"/>
        </w:trPr>
        <w:tc>
          <w:tcPr>
            <w:tcW w:w="2065" w:type="dxa"/>
            <w:vAlign w:val="center"/>
          </w:tcPr>
          <w:p w14:paraId="7155D9D7" w14:textId="77777777" w:rsidR="00417173" w:rsidRDefault="00417173" w:rsidP="000031B7">
            <w:pPr>
              <w:pStyle w:val="TableParagraph"/>
              <w:jc w:val="right"/>
            </w:pPr>
            <w:r>
              <w:t>PM</w:t>
            </w:r>
            <w:r w:rsidRPr="00E97A00">
              <w:rPr>
                <w:vertAlign w:val="subscript"/>
              </w:rPr>
              <w:t>2.5</w:t>
            </w:r>
          </w:p>
        </w:tc>
        <w:tc>
          <w:tcPr>
            <w:tcW w:w="4168" w:type="dxa"/>
            <w:vAlign w:val="center"/>
          </w:tcPr>
          <w:p w14:paraId="0592FB67" w14:textId="77777777" w:rsidR="00417173" w:rsidRDefault="00417173" w:rsidP="000031B7">
            <w:pPr>
              <w:pStyle w:val="TableParagraph"/>
              <w:jc w:val="right"/>
            </w:pPr>
            <w:r>
              <w:t>141.96 tpy</w:t>
            </w:r>
          </w:p>
        </w:tc>
        <w:tc>
          <w:tcPr>
            <w:tcW w:w="3302" w:type="dxa"/>
            <w:vAlign w:val="center"/>
          </w:tcPr>
          <w:p w14:paraId="72C36047" w14:textId="77777777" w:rsidR="00417173" w:rsidRDefault="00417173" w:rsidP="000031B7">
            <w:pPr>
              <w:pStyle w:val="TableParagraph"/>
              <w:jc w:val="right"/>
            </w:pPr>
            <w:r>
              <w:t>16.84 tpy</w:t>
            </w:r>
          </w:p>
        </w:tc>
      </w:tr>
    </w:tbl>
    <w:p w14:paraId="3BABD1F4" w14:textId="116CFF3C" w:rsidR="00DC4EAE" w:rsidRPr="00DC4EAE" w:rsidRDefault="00992723" w:rsidP="0096088C">
      <w:pPr>
        <w:pStyle w:val="Heading6"/>
      </w:pPr>
      <w:bookmarkStart w:id="70" w:name="_Toc51673358"/>
      <w:r>
        <w:t>Cost of c</w:t>
      </w:r>
      <w:r w:rsidR="0096088C">
        <w:t>ompliance</w:t>
      </w:r>
      <w:bookmarkEnd w:id="70"/>
    </w:p>
    <w:p w14:paraId="43ACB4B7" w14:textId="19D8B0C2" w:rsidR="00DC4EAE" w:rsidRDefault="0024237D" w:rsidP="00DC4EAE">
      <w:pPr>
        <w:pStyle w:val="Paragraph"/>
        <w:rPr>
          <w:u w:val="single"/>
        </w:rPr>
      </w:pPr>
      <w:r>
        <w:t xml:space="preserve">a. Oxides of Nitrogen </w:t>
      </w:r>
      <w:r w:rsidRPr="001E255C">
        <w:rPr>
          <w:u w:val="single"/>
        </w:rPr>
        <w:t>(</w:t>
      </w:r>
      <w:r w:rsidR="001E255C" w:rsidRPr="001E255C">
        <w:rPr>
          <w:u w:val="single"/>
        </w:rPr>
        <w:t>NO</w:t>
      </w:r>
      <w:r w:rsidR="001E255C" w:rsidRPr="001E255C">
        <w:rPr>
          <w:u w:val="single"/>
          <w:vertAlign w:val="subscript"/>
        </w:rPr>
        <w:t>X</w:t>
      </w:r>
      <w:r w:rsidRPr="001E255C">
        <w:rPr>
          <w:u w:val="single"/>
        </w:rPr>
        <w:t>)</w:t>
      </w:r>
      <w:r>
        <w:rPr>
          <w:u w:val="single"/>
        </w:rPr>
        <w:t xml:space="preserve"> – cost and $/ton</w:t>
      </w:r>
    </w:p>
    <w:p w14:paraId="77797DE9" w14:textId="39D30825" w:rsidR="0024237D" w:rsidRDefault="00C753A1" w:rsidP="00DC4EAE">
      <w:pPr>
        <w:pStyle w:val="Paragraph"/>
      </w:pPr>
      <w:r>
        <w:t xml:space="preserve">Cardinal’s </w:t>
      </w:r>
      <w:r w:rsidR="0024237D">
        <w:t xml:space="preserve">permit modification application estimated </w:t>
      </w:r>
      <w:r w:rsidR="005C524C">
        <w:t>a reduction of</w:t>
      </w:r>
      <w:r w:rsidR="0024237D">
        <w:t xml:space="preserve"> glass furnace annual </w:t>
      </w:r>
      <w:r w:rsidR="001E255C">
        <w:t>NO</w:t>
      </w:r>
      <w:r w:rsidR="001E255C" w:rsidRPr="001E255C">
        <w:rPr>
          <w:vertAlign w:val="subscript"/>
        </w:rPr>
        <w:t>X</w:t>
      </w:r>
      <w:r w:rsidR="0024237D">
        <w:t xml:space="preserve"> emissions</w:t>
      </w:r>
      <w:r w:rsidR="00E02730">
        <w:t xml:space="preserve"> </w:t>
      </w:r>
      <w:r w:rsidR="0024237D">
        <w:t xml:space="preserve">from 887.7 to 245.0 tons per year (tpy). This is an annual reduction of 642.7 tpy. The estimated cost of the new SCR control system is $10 million. Based </w:t>
      </w:r>
      <w:r w:rsidR="0024237D" w:rsidRPr="00853AD4">
        <w:t xml:space="preserve">on </w:t>
      </w:r>
      <w:r w:rsidR="00853AD4">
        <w:t>3.5%</w:t>
      </w:r>
      <w:r w:rsidR="0024237D">
        <w:t xml:space="preserve"> interest and </w:t>
      </w:r>
      <w:r w:rsidR="001A3E02">
        <w:t>20-year</w:t>
      </w:r>
      <w:r w:rsidR="0024237D">
        <w:t xml:space="preserve"> life, the annual cost is $944,000 per year. Using the annualized cost and emissions reduction, the estimated cost effectiveness is $1,469 per ton of </w:t>
      </w:r>
      <w:r w:rsidR="001E255C">
        <w:t>NO</w:t>
      </w:r>
      <w:r w:rsidR="001E255C" w:rsidRPr="001E255C">
        <w:rPr>
          <w:vertAlign w:val="subscript"/>
        </w:rPr>
        <w:t>X</w:t>
      </w:r>
      <w:r w:rsidR="0024237D">
        <w:t>. The actual cost will be higher since this do</w:t>
      </w:r>
      <w:r w:rsidR="00EF00A3">
        <w:t>es not include operating costs.</w:t>
      </w:r>
    </w:p>
    <w:p w14:paraId="0AE048C3" w14:textId="32E6FCE5" w:rsidR="0024237D" w:rsidRDefault="0024237D" w:rsidP="00DC4EAE">
      <w:pPr>
        <w:pStyle w:val="Paragraph"/>
      </w:pPr>
      <w:r>
        <w:t xml:space="preserve">Ecology </w:t>
      </w:r>
      <w:r w:rsidR="002D61F7">
        <w:t xml:space="preserve">requested additional information to use the EPA </w:t>
      </w:r>
      <w:r w:rsidR="00903E09">
        <w:t xml:space="preserve">Control </w:t>
      </w:r>
      <w:r w:rsidR="002D61F7">
        <w:t xml:space="preserve">Cost Manual. Ecology wanted to check the EPA </w:t>
      </w:r>
      <w:r w:rsidR="00903E09">
        <w:t xml:space="preserve">Control </w:t>
      </w:r>
      <w:r w:rsidR="002D61F7">
        <w:t xml:space="preserve">Cost Manual results to actual data for quality purposes. Ecology </w:t>
      </w:r>
      <w:r>
        <w:t xml:space="preserve">received the following </w:t>
      </w:r>
      <w:r w:rsidR="002D61F7">
        <w:t xml:space="preserve">unit specific </w:t>
      </w:r>
      <w:r>
        <w:t>information from Cardinal on June 15, 2020:</w:t>
      </w:r>
    </w:p>
    <w:p w14:paraId="595410B8" w14:textId="77777777" w:rsidR="0024237D" w:rsidRDefault="0024237D" w:rsidP="00DC4EAE">
      <w:pPr>
        <w:pStyle w:val="BulletedList"/>
      </w:pPr>
      <w:r>
        <w:t xml:space="preserve">Exhaust rate of </w:t>
      </w:r>
      <w:r w:rsidRPr="00B7208C">
        <w:t>181,157 acfm @ 600 F</w:t>
      </w:r>
    </w:p>
    <w:p w14:paraId="09123F4F" w14:textId="1091B8D8" w:rsidR="0024237D" w:rsidRPr="00B7208C" w:rsidRDefault="0024237D" w:rsidP="00DC4EAE">
      <w:pPr>
        <w:pStyle w:val="BulletedList"/>
      </w:pPr>
      <w:r w:rsidRPr="00B7208C">
        <w:t xml:space="preserve">SCR </w:t>
      </w:r>
      <w:r>
        <w:t>i</w:t>
      </w:r>
      <w:r w:rsidRPr="00B7208C">
        <w:t xml:space="preserve">nlet </w:t>
      </w:r>
      <w:r w:rsidR="001E255C">
        <w:t>NO</w:t>
      </w:r>
      <w:r w:rsidR="001E255C" w:rsidRPr="001E255C">
        <w:rPr>
          <w:vertAlign w:val="subscript"/>
        </w:rPr>
        <w:t>X</w:t>
      </w:r>
      <w:r w:rsidRPr="00B7208C">
        <w:t xml:space="preserve"> = 437.5 lbs/hr</w:t>
      </w:r>
      <w:r>
        <w:t xml:space="preserve"> (above current emission limit)</w:t>
      </w:r>
    </w:p>
    <w:p w14:paraId="1C1372B9" w14:textId="41263003" w:rsidR="0024237D" w:rsidRDefault="0024237D" w:rsidP="00DC4EAE">
      <w:pPr>
        <w:pStyle w:val="BulletedList"/>
      </w:pPr>
      <w:r w:rsidRPr="00B7208C">
        <w:t xml:space="preserve">SCR </w:t>
      </w:r>
      <w:r>
        <w:t>o</w:t>
      </w:r>
      <w:r w:rsidRPr="00B7208C">
        <w:t xml:space="preserve">utlet </w:t>
      </w:r>
      <w:r w:rsidR="001E255C">
        <w:t>NO</w:t>
      </w:r>
      <w:r w:rsidR="001E255C" w:rsidRPr="001E255C">
        <w:rPr>
          <w:vertAlign w:val="subscript"/>
        </w:rPr>
        <w:t>X</w:t>
      </w:r>
      <w:r w:rsidRPr="00B7208C">
        <w:t xml:space="preserve"> = 49.1 lbs/hr</w:t>
      </w:r>
    </w:p>
    <w:p w14:paraId="3124DF73" w14:textId="77777777" w:rsidR="0024237D" w:rsidRDefault="0024237D" w:rsidP="00DC4EAE">
      <w:pPr>
        <w:pStyle w:val="BulletedList"/>
      </w:pPr>
      <w:r>
        <w:t>Capital cost updated to $11 million (annualized cost not updated)</w:t>
      </w:r>
    </w:p>
    <w:p w14:paraId="1F7CB431" w14:textId="7C66F971" w:rsidR="00DC4EAE" w:rsidRDefault="0024237D" w:rsidP="00DC4EAE">
      <w:pPr>
        <w:pStyle w:val="Paragraph"/>
      </w:pPr>
      <w:r>
        <w:t xml:space="preserve">b. </w:t>
      </w:r>
      <w:r w:rsidR="00AF3E8D">
        <w:t>SO</w:t>
      </w:r>
      <w:r w:rsidR="00AF3E8D" w:rsidRPr="00AF3E8D">
        <w:rPr>
          <w:vertAlign w:val="subscript"/>
        </w:rPr>
        <w:t>2</w:t>
      </w:r>
      <w:r>
        <w:t>, PM – Temperature change –</w:t>
      </w:r>
      <w:r w:rsidR="0052540C">
        <w:t xml:space="preserve"> </w:t>
      </w:r>
      <w:r>
        <w:t>higher scrubber temperature and reheat - cost and $/ton</w:t>
      </w:r>
    </w:p>
    <w:p w14:paraId="1BFFB47C" w14:textId="7891F48F" w:rsidR="0024237D" w:rsidRDefault="0024237D" w:rsidP="00DC4EAE">
      <w:pPr>
        <w:pStyle w:val="Paragraph"/>
      </w:pPr>
      <w:r>
        <w:t xml:space="preserve">The operating temperature of the new SCR system will require the existing spray dryer and electrostatic precipitator (ESP) to operate at higher temperatures, reducing their collection efficiency and requiring a reheat burner. This increased temperature results in a greater fuel </w:t>
      </w:r>
      <w:r>
        <w:lastRenderedPageBreak/>
        <w:t xml:space="preserve">consumption and </w:t>
      </w:r>
      <w:r w:rsidR="00AF3E8D">
        <w:t>SO</w:t>
      </w:r>
      <w:r w:rsidR="00AF3E8D" w:rsidRPr="00AF3E8D">
        <w:rPr>
          <w:vertAlign w:val="subscript"/>
        </w:rPr>
        <w:t>2</w:t>
      </w:r>
      <w:r>
        <w:t xml:space="preserve"> emissions.</w:t>
      </w:r>
      <w:r w:rsidR="009932BF">
        <w:t xml:space="preserve"> </w:t>
      </w:r>
      <w:r>
        <w:t xml:space="preserve">The </w:t>
      </w:r>
      <w:r w:rsidR="00AF3E8D">
        <w:t>SO</w:t>
      </w:r>
      <w:r w:rsidR="00AF3E8D" w:rsidRPr="00AF3E8D">
        <w:rPr>
          <w:vertAlign w:val="subscript"/>
        </w:rPr>
        <w:t>2</w:t>
      </w:r>
      <w:r>
        <w:t xml:space="preserve"> emissions limit will increase from 0.6 to 0.8 lbs</w:t>
      </w:r>
      <w:r w:rsidR="0052540C">
        <w:t xml:space="preserve"> of SO</w:t>
      </w:r>
      <w:r w:rsidR="0052540C" w:rsidRPr="00AF3E8D">
        <w:rPr>
          <w:vertAlign w:val="subscript"/>
        </w:rPr>
        <w:t>2</w:t>
      </w:r>
      <w:r>
        <w:t xml:space="preserve">/ton </w:t>
      </w:r>
      <w:r w:rsidR="0052540C">
        <w:t xml:space="preserve">of </w:t>
      </w:r>
      <w:r>
        <w:t>glass.</w:t>
      </w:r>
      <w:r w:rsidRPr="005942BA">
        <w:t xml:space="preserve"> </w:t>
      </w:r>
      <w:r>
        <w:t xml:space="preserve">The natural gas-fired reheat burner will have a capacity of 17 </w:t>
      </w:r>
      <w:r w:rsidR="0052540C">
        <w:t xml:space="preserve">million </w:t>
      </w:r>
      <w:r w:rsidR="00C00238">
        <w:t>British Thermal Units</w:t>
      </w:r>
      <w:r w:rsidR="0052540C">
        <w:t xml:space="preserve"> (</w:t>
      </w:r>
      <w:r>
        <w:t>mmbtu</w:t>
      </w:r>
      <w:r w:rsidR="0052540C">
        <w:t>)</w:t>
      </w:r>
      <w:r>
        <w:t>/hr.</w:t>
      </w:r>
    </w:p>
    <w:p w14:paraId="54E24B4E" w14:textId="30A4B927" w:rsidR="00DC4EAE" w:rsidRDefault="0024237D" w:rsidP="00DC4EAE">
      <w:pPr>
        <w:pStyle w:val="Paragraph"/>
      </w:pPr>
      <w:r>
        <w:t>The permit modification application includes a production increase at the facility from 650 to 750 tons per day (TPD).</w:t>
      </w:r>
      <w:r w:rsidR="009932BF">
        <w:t xml:space="preserve"> </w:t>
      </w:r>
      <w:r>
        <w:t>This results in an increase of total annual PM emissions even though the total PM emission limits of 0.94 lbs/ton will not change.</w:t>
      </w:r>
    </w:p>
    <w:p w14:paraId="7D54A25D" w14:textId="68E0BCD3" w:rsidR="00DC4EAE" w:rsidRDefault="002D61F7" w:rsidP="00BB0D6A">
      <w:pPr>
        <w:pStyle w:val="Heading6"/>
      </w:pPr>
      <w:bookmarkStart w:id="71" w:name="_Toc51673359"/>
      <w:r>
        <w:t>Time necessary for compliance</w:t>
      </w:r>
      <w:bookmarkEnd w:id="71"/>
    </w:p>
    <w:p w14:paraId="1313FEA0" w14:textId="319E86FE" w:rsidR="00DC4EAE" w:rsidRDefault="00BB0D6A" w:rsidP="00DC4EAE">
      <w:pPr>
        <w:pStyle w:val="Paragraph"/>
      </w:pPr>
      <w:r w:rsidRPr="00BB0D6A">
        <w:t>Cardinal expects to have the proposed SCR installed and operational aapproximately one year after the permit is issued.</w:t>
      </w:r>
      <w:r w:rsidR="0024237D">
        <w:t xml:space="preserve"> The permit issued </w:t>
      </w:r>
      <w:r w:rsidR="007A4E37">
        <w:t xml:space="preserve">by SWCAA </w:t>
      </w:r>
      <w:r w:rsidR="0024237D">
        <w:t>to the facility on [</w:t>
      </w:r>
      <w:r w:rsidR="0024237D" w:rsidRPr="00E82457">
        <w:rPr>
          <w:highlight w:val="yellow"/>
        </w:rPr>
        <w:t>PUT</w:t>
      </w:r>
      <w:r w:rsidR="00E82457">
        <w:rPr>
          <w:highlight w:val="yellow"/>
        </w:rPr>
        <w:t xml:space="preserve"> </w:t>
      </w:r>
      <w:r w:rsidR="0024237D" w:rsidRPr="00E82457">
        <w:rPr>
          <w:highlight w:val="yellow"/>
        </w:rPr>
        <w:t>DATE</w:t>
      </w:r>
      <w:r w:rsidR="00E82457">
        <w:rPr>
          <w:highlight w:val="yellow"/>
        </w:rPr>
        <w:t xml:space="preserve"> </w:t>
      </w:r>
      <w:r w:rsidR="0024237D" w:rsidRPr="00E82457">
        <w:rPr>
          <w:highlight w:val="yellow"/>
        </w:rPr>
        <w:t>HERE</w:t>
      </w:r>
      <w:r w:rsidR="0024237D">
        <w:t>] and it is anticipated to have the SCR operati</w:t>
      </w:r>
      <w:r w:rsidR="00EF00A3">
        <w:t>ng</w:t>
      </w:r>
      <w:r w:rsidR="0024237D">
        <w:t xml:space="preserve"> by [</w:t>
      </w:r>
      <w:r w:rsidR="0024237D" w:rsidRPr="00E82457">
        <w:rPr>
          <w:highlight w:val="yellow"/>
        </w:rPr>
        <w:t>PUT DATE HERE</w:t>
      </w:r>
      <w:r w:rsidR="0024237D">
        <w:t>]</w:t>
      </w:r>
    </w:p>
    <w:p w14:paraId="4274EA20" w14:textId="3EADD487" w:rsidR="00DC4EAE" w:rsidRDefault="002D61F7" w:rsidP="00BB0D6A">
      <w:pPr>
        <w:pStyle w:val="Heading6"/>
      </w:pPr>
      <w:bookmarkStart w:id="72" w:name="_Toc51673360"/>
      <w:r>
        <w:t>Energy and non-air quality environmental impacts of compliance</w:t>
      </w:r>
      <w:bookmarkEnd w:id="72"/>
    </w:p>
    <w:p w14:paraId="3ACD5AE6" w14:textId="77777777" w:rsidR="00DC4EAE" w:rsidRDefault="0024237D" w:rsidP="00DC4EAE">
      <w:pPr>
        <w:pStyle w:val="Paragraph"/>
        <w:rPr>
          <w:u w:val="single"/>
        </w:rPr>
      </w:pPr>
      <w:r>
        <w:t xml:space="preserve">a. </w:t>
      </w:r>
      <w:r>
        <w:rPr>
          <w:u w:val="single"/>
        </w:rPr>
        <w:t>SCR - Ammonia and PM increases</w:t>
      </w:r>
    </w:p>
    <w:p w14:paraId="0B062D92" w14:textId="0CB2D9D7" w:rsidR="00DC4EAE" w:rsidRDefault="0024237D" w:rsidP="00DC4EAE">
      <w:pPr>
        <w:pStyle w:val="Paragraph"/>
      </w:pPr>
      <w:r>
        <w:t>The design of the SCR system at the facility assumes 19</w:t>
      </w:r>
      <w:r w:rsidR="001A3E02">
        <w:t xml:space="preserve"> percent</w:t>
      </w:r>
      <w:r>
        <w:t xml:space="preserve"> ammonia reagent usage of 816 lbs/hr. </w:t>
      </w:r>
      <w:r w:rsidR="001A3E02">
        <w:t xml:space="preserve">Appendix D of the permit </w:t>
      </w:r>
      <w:r w:rsidR="00E15A3F">
        <w:t xml:space="preserve">modification </w:t>
      </w:r>
      <w:r w:rsidR="001A3E02">
        <w:t xml:space="preserve">application calculates </w:t>
      </w:r>
      <w:r w:rsidR="00AD3B90">
        <w:t>a</w:t>
      </w:r>
      <w:r>
        <w:t>mmonia e</w:t>
      </w:r>
      <w:r w:rsidR="001A3E02">
        <w:t>missions.</w:t>
      </w:r>
      <w:r>
        <w:t xml:space="preserve"> [</w:t>
      </w:r>
      <w:r w:rsidR="00BB0D6A">
        <w:t>APPENDIX XX</w:t>
      </w:r>
      <w:r>
        <w:t>]</w:t>
      </w:r>
      <w:r w:rsidR="001A3E02">
        <w:t xml:space="preserve"> contains the permit modification application</w:t>
      </w:r>
      <w:r>
        <w:t>. Based on an ammonia slip limit of 10 ppm, estimated ammonia emissions based on continuous operation will be 9.5 tpy.</w:t>
      </w:r>
    </w:p>
    <w:p w14:paraId="70F4ABCE" w14:textId="099ECE81" w:rsidR="00DC4EAE" w:rsidRDefault="0024237D" w:rsidP="00DC4EAE">
      <w:pPr>
        <w:pStyle w:val="Paragraph"/>
      </w:pPr>
      <w:r>
        <w:t>The total PM emission limits of 0.94 lbs</w:t>
      </w:r>
      <w:r w:rsidR="0052540C">
        <w:t xml:space="preserve"> PM</w:t>
      </w:r>
      <w:r>
        <w:t>/ton of glass will not change</w:t>
      </w:r>
      <w:r w:rsidR="002E3750">
        <w:t>.</w:t>
      </w:r>
      <w:r>
        <w:t xml:space="preserve"> </w:t>
      </w:r>
      <w:r w:rsidR="002E3750">
        <w:t>T</w:t>
      </w:r>
      <w:r>
        <w:t xml:space="preserve">otal PM emissions </w:t>
      </w:r>
      <w:r w:rsidR="002E3750">
        <w:t xml:space="preserve">will </w:t>
      </w:r>
      <w:r>
        <w:t>increase</w:t>
      </w:r>
      <w:r w:rsidR="002E3750">
        <w:t>, however,</w:t>
      </w:r>
      <w:r>
        <w:t xml:space="preserve"> due to the facility</w:t>
      </w:r>
      <w:r w:rsidR="002E3750">
        <w:t xml:space="preserve"> increasing</w:t>
      </w:r>
      <w:r>
        <w:t xml:space="preserve"> throughput capacity</w:t>
      </w:r>
      <w:r w:rsidR="00E02730">
        <w:t xml:space="preserve"> </w:t>
      </w:r>
      <w:r>
        <w:t xml:space="preserve">from 650 to 750 tpd of glass. </w:t>
      </w:r>
      <w:r w:rsidR="002E3750">
        <w:t xml:space="preserve">Appendix C of the permit modification application calculates </w:t>
      </w:r>
      <w:r>
        <w:t>PM emissions</w:t>
      </w:r>
      <w:r w:rsidR="002E3750">
        <w:t>.</w:t>
      </w:r>
      <w:r>
        <w:t xml:space="preserve"> [</w:t>
      </w:r>
      <w:r w:rsidR="00BB0D6A">
        <w:t>APPENDIX XX</w:t>
      </w:r>
      <w:r>
        <w:t>]</w:t>
      </w:r>
      <w:r w:rsidR="002E3750">
        <w:t xml:space="preserve"> contains the permit modification application</w:t>
      </w:r>
      <w:r>
        <w:t>. The PM emissions from the glass furnace will increase from 111.0 to 128.7 tpy, for an increase of 17.7 tpy.</w:t>
      </w:r>
    </w:p>
    <w:p w14:paraId="0C59F736" w14:textId="1431CC34" w:rsidR="00DC4EAE" w:rsidRDefault="0024237D" w:rsidP="00DC4EAE">
      <w:pPr>
        <w:pStyle w:val="Paragraph"/>
      </w:pPr>
      <w:r>
        <w:t xml:space="preserve">The </w:t>
      </w:r>
      <w:r w:rsidR="00AF3E8D">
        <w:t>SO</w:t>
      </w:r>
      <w:r w:rsidR="00AF3E8D" w:rsidRPr="00AF3E8D">
        <w:rPr>
          <w:vertAlign w:val="subscript"/>
        </w:rPr>
        <w:t>2</w:t>
      </w:r>
      <w:r>
        <w:t xml:space="preserve"> emissions limit will increase from 0.6 to 0.8 lbs/ton. Emission increases will occur due to the increase in capacity from 650 to 750 tpd of glass.</w:t>
      </w:r>
      <w:r w:rsidR="00AF3E8D" w:rsidRPr="00AF3E8D">
        <w:t xml:space="preserve"> </w:t>
      </w:r>
      <w:r w:rsidR="002E3750">
        <w:t xml:space="preserve">Appendix C of the permit modification application calculates </w:t>
      </w:r>
      <w:r w:rsidR="00AF3E8D">
        <w:t>SO</w:t>
      </w:r>
      <w:r w:rsidR="00AF3E8D" w:rsidRPr="00AF3E8D">
        <w:rPr>
          <w:vertAlign w:val="subscript"/>
        </w:rPr>
        <w:t>2</w:t>
      </w:r>
      <w:r>
        <w:t xml:space="preserve"> emissions. [</w:t>
      </w:r>
      <w:r w:rsidR="00BB0D6A">
        <w:t>APENDIX XX</w:t>
      </w:r>
      <w:r>
        <w:t>]</w:t>
      </w:r>
      <w:r w:rsidR="002E3750">
        <w:t xml:space="preserve"> contains the permit modification application. The</w:t>
      </w:r>
      <w:r>
        <w:t xml:space="preserve"> </w:t>
      </w:r>
      <w:r w:rsidR="00AF3E8D">
        <w:t>SO</w:t>
      </w:r>
      <w:r w:rsidR="00AF3E8D" w:rsidRPr="00AF3E8D">
        <w:rPr>
          <w:vertAlign w:val="subscript"/>
        </w:rPr>
        <w:t>2</w:t>
      </w:r>
      <w:r>
        <w:t xml:space="preserve"> emissions from the glass furnace will increase from 75.6 to 114.2 tpy, for an increase of 38.6 tpy.</w:t>
      </w:r>
    </w:p>
    <w:p w14:paraId="74871D59" w14:textId="79B4D99C" w:rsidR="00DC4EAE" w:rsidRDefault="0024237D" w:rsidP="00DC4EAE">
      <w:pPr>
        <w:pStyle w:val="Paragraph"/>
        <w:rPr>
          <w:u w:val="single"/>
        </w:rPr>
      </w:pPr>
      <w:r>
        <w:t xml:space="preserve">b. </w:t>
      </w:r>
      <w:r w:rsidR="00AF3E8D" w:rsidRPr="00AF3E8D">
        <w:rPr>
          <w:u w:val="single"/>
        </w:rPr>
        <w:t>SO</w:t>
      </w:r>
      <w:r w:rsidR="00AF3E8D" w:rsidRPr="00AF3E8D">
        <w:rPr>
          <w:u w:val="single"/>
          <w:vertAlign w:val="subscript"/>
        </w:rPr>
        <w:t>2</w:t>
      </w:r>
      <w:r>
        <w:rPr>
          <w:u w:val="single"/>
        </w:rPr>
        <w:t>/PM controls - additional fuel if needed – added emissions</w:t>
      </w:r>
    </w:p>
    <w:p w14:paraId="0E262F6F" w14:textId="58E11839" w:rsidR="00DC4EAE" w:rsidRDefault="0024237D" w:rsidP="00DC4EAE">
      <w:pPr>
        <w:pStyle w:val="Paragraph"/>
      </w:pPr>
      <w:r>
        <w:t xml:space="preserve">The existing </w:t>
      </w:r>
      <w:r w:rsidR="00AF3E8D">
        <w:t>SO</w:t>
      </w:r>
      <w:r w:rsidR="00AF3E8D" w:rsidRPr="00AF3E8D">
        <w:rPr>
          <w:vertAlign w:val="subscript"/>
        </w:rPr>
        <w:t>2</w:t>
      </w:r>
      <w:r>
        <w:t xml:space="preserve"> and PM controls for the glass furnace use no fuels.</w:t>
      </w:r>
    </w:p>
    <w:p w14:paraId="3AB3ED27" w14:textId="6C4BF81F" w:rsidR="00DC4EAE" w:rsidRDefault="002D61F7" w:rsidP="00BB0D6A">
      <w:pPr>
        <w:pStyle w:val="Heading6"/>
      </w:pPr>
      <w:bookmarkStart w:id="73" w:name="_Toc51673361"/>
      <w:r>
        <w:t>Remaining useful life of any potentially affected sources</w:t>
      </w:r>
      <w:bookmarkEnd w:id="73"/>
    </w:p>
    <w:p w14:paraId="25B7E180" w14:textId="7556E1F5" w:rsidR="00DC4EAE" w:rsidRDefault="0024237D" w:rsidP="00DC4EAE">
      <w:pPr>
        <w:pStyle w:val="Paragraph"/>
      </w:pPr>
      <w:r>
        <w:t xml:space="preserve">The Cardinal facility has operated since 2006. </w:t>
      </w:r>
      <w:r w:rsidR="004906BF">
        <w:t xml:space="preserve">The new SCR system’s design life will last at least 30 years if </w:t>
      </w:r>
      <w:r w:rsidR="002E3750">
        <w:t xml:space="preserve">the facility performs </w:t>
      </w:r>
      <w:r w:rsidR="004906BF">
        <w:t>proper maintenance.</w:t>
      </w:r>
    </w:p>
    <w:p w14:paraId="2EB02A7C" w14:textId="46D515F6" w:rsidR="0024237D" w:rsidRPr="007562D7" w:rsidRDefault="00025367" w:rsidP="0025114A">
      <w:pPr>
        <w:pStyle w:val="Heading5"/>
      </w:pPr>
      <w:bookmarkStart w:id="74" w:name="_Toc51673362"/>
      <w:bookmarkStart w:id="75" w:name="_Toc51674407"/>
      <w:r>
        <w:lastRenderedPageBreak/>
        <w:t>Ecology’s r</w:t>
      </w:r>
      <w:r w:rsidR="0024237D" w:rsidRPr="007562D7">
        <w:t>eview</w:t>
      </w:r>
      <w:bookmarkEnd w:id="74"/>
      <w:bookmarkEnd w:id="75"/>
    </w:p>
    <w:p w14:paraId="375AA0DA" w14:textId="52C74E3E" w:rsidR="0024237D" w:rsidRPr="008622A9" w:rsidRDefault="0024237D" w:rsidP="008622A9">
      <w:pPr>
        <w:pStyle w:val="Paragraph"/>
      </w:pPr>
      <w:r>
        <w:t>The RH program does not prohibit or limit construction of new stationary sources of emissions or modification of existing stationary sources of emissions. Cardinal submitted a permit modification application that allows for increased glass production and a change in emission control devices.</w:t>
      </w:r>
      <w:r w:rsidR="009932BF">
        <w:t xml:space="preserve"> </w:t>
      </w:r>
      <w:r>
        <w:t>Based on the</w:t>
      </w:r>
      <w:r w:rsidR="00025367">
        <w:t xml:space="preserve"> above information and SWCAA’s technical s</w:t>
      </w:r>
      <w:r>
        <w:t>upport document for the permit action, Ecology concludes:</w:t>
      </w:r>
    </w:p>
    <w:p w14:paraId="2AD9A1D0" w14:textId="0F1F6CFD" w:rsidR="0024237D" w:rsidRPr="008622A9" w:rsidRDefault="00F61C14" w:rsidP="008622A9">
      <w:pPr>
        <w:pStyle w:val="Paragraph"/>
      </w:pPr>
      <w:r>
        <w:t xml:space="preserve">The new SCR emissions control device will control </w:t>
      </w:r>
      <w:r w:rsidR="001E255C">
        <w:t>NO</w:t>
      </w:r>
      <w:r w:rsidR="001E255C" w:rsidRPr="001E255C">
        <w:rPr>
          <w:vertAlign w:val="subscript"/>
        </w:rPr>
        <w:t>X</w:t>
      </w:r>
      <w:r w:rsidR="0024237D" w:rsidRPr="008622A9">
        <w:t xml:space="preserve"> emissions</w:t>
      </w:r>
      <w:r w:rsidR="00533FA1">
        <w:t>.</w:t>
      </w:r>
      <w:r w:rsidR="0024237D" w:rsidRPr="008622A9">
        <w:t xml:space="preserve"> </w:t>
      </w:r>
      <w:r w:rsidR="00533FA1">
        <w:t>This will</w:t>
      </w:r>
      <w:r w:rsidR="00533FA1" w:rsidRPr="008622A9">
        <w:t xml:space="preserve"> </w:t>
      </w:r>
      <w:r w:rsidR="0024237D" w:rsidRPr="008622A9">
        <w:t xml:space="preserve">reduce permitted emissions from </w:t>
      </w:r>
      <w:r w:rsidR="005E7E42">
        <w:t>882</w:t>
      </w:r>
      <w:r w:rsidR="0024237D" w:rsidRPr="008622A9">
        <w:t xml:space="preserve"> to 2</w:t>
      </w:r>
      <w:r w:rsidR="005E7E42">
        <w:t>45</w:t>
      </w:r>
      <w:r w:rsidR="0024237D" w:rsidRPr="008622A9">
        <w:t xml:space="preserve"> tpy, a reduction of </w:t>
      </w:r>
      <w:r w:rsidR="005E7E42">
        <w:t>about 640</w:t>
      </w:r>
      <w:r w:rsidR="0024237D" w:rsidRPr="008622A9">
        <w:t xml:space="preserve"> tpy. Ecology’s independent review of the cost for installation of the SCR determined approximately $1,600/ton of </w:t>
      </w:r>
      <w:r w:rsidR="001E255C">
        <w:t>NO</w:t>
      </w:r>
      <w:r w:rsidR="001E255C" w:rsidRPr="001E255C">
        <w:rPr>
          <w:vertAlign w:val="subscript"/>
        </w:rPr>
        <w:t>X</w:t>
      </w:r>
      <w:r w:rsidR="0024237D" w:rsidRPr="008622A9">
        <w:t xml:space="preserve"> reduced (640 tpy in actual </w:t>
      </w:r>
      <w:r w:rsidR="0024237D" w:rsidRPr="008622A9">
        <w:rPr>
          <w:rStyle w:val="ParagraphChar"/>
        </w:rPr>
        <w:t>reductions)</w:t>
      </w:r>
      <w:r w:rsidR="004906BF">
        <w:rPr>
          <w:rStyle w:val="ParagraphChar"/>
        </w:rPr>
        <w:t>.</w:t>
      </w:r>
      <w:r w:rsidR="0024237D" w:rsidRPr="008622A9">
        <w:rPr>
          <w:rStyle w:val="ParagraphChar"/>
        </w:rPr>
        <w:t xml:space="preserve"> </w:t>
      </w:r>
      <w:r w:rsidR="004906BF">
        <w:rPr>
          <w:rStyle w:val="ParagraphChar"/>
        </w:rPr>
        <w:t>The facility’</w:t>
      </w:r>
      <w:r w:rsidR="00AD5120">
        <w:rPr>
          <w:rStyle w:val="ParagraphChar"/>
        </w:rPr>
        <w:t>s</w:t>
      </w:r>
      <w:r w:rsidR="004906BF">
        <w:rPr>
          <w:rStyle w:val="ParagraphChar"/>
        </w:rPr>
        <w:t xml:space="preserve"> estimate was slightly higher as t</w:t>
      </w:r>
      <w:r w:rsidR="0024237D" w:rsidRPr="008622A9">
        <w:rPr>
          <w:rStyle w:val="ParagraphChar"/>
        </w:rPr>
        <w:t xml:space="preserve">he company </w:t>
      </w:r>
      <w:r w:rsidR="004906BF">
        <w:rPr>
          <w:rStyle w:val="ParagraphChar"/>
        </w:rPr>
        <w:t xml:space="preserve">included </w:t>
      </w:r>
      <w:r w:rsidR="0024237D" w:rsidRPr="008622A9">
        <w:t xml:space="preserve">the </w:t>
      </w:r>
      <w:r w:rsidR="004906BF">
        <w:t>additional equipment (temporary stack and larger crane) to install the new system wh</w:t>
      </w:r>
      <w:r w:rsidR="00EF00A3">
        <w:t>i</w:t>
      </w:r>
      <w:r w:rsidR="004906BF">
        <w:t>le the facility stays in operation.</w:t>
      </w:r>
      <w:r w:rsidR="0024237D" w:rsidRPr="008622A9">
        <w:t xml:space="preserve"> This could explain the higher cost Ecology </w:t>
      </w:r>
      <w:r w:rsidR="004906BF">
        <w:t xml:space="preserve">estimated from the EPA </w:t>
      </w:r>
      <w:r w:rsidR="00E35B04">
        <w:t>Control Cost Manual</w:t>
      </w:r>
      <w:r w:rsidR="004906BF">
        <w:t xml:space="preserve"> as the model uses a base </w:t>
      </w:r>
      <w:r w:rsidR="0024237D" w:rsidRPr="008622A9">
        <w:t xml:space="preserve">reconstruction factor of 1.5 </w:t>
      </w:r>
      <w:r w:rsidR="004906BF">
        <w:t>to simulate actual costs.</w:t>
      </w:r>
    </w:p>
    <w:p w14:paraId="7A218180" w14:textId="1C587EBA" w:rsidR="0024237D" w:rsidRDefault="00025367" w:rsidP="00DC4EAE">
      <w:pPr>
        <w:pStyle w:val="BulletedList"/>
      </w:pPr>
      <w:r>
        <w:t>T</w:t>
      </w:r>
      <w:r w:rsidR="0024237D">
        <w:t xml:space="preserve">his cost is reasonable for </w:t>
      </w:r>
      <w:r w:rsidR="00C67AFF">
        <w:t>RH</w:t>
      </w:r>
      <w:r w:rsidR="0024237D">
        <w:t xml:space="preserve"> </w:t>
      </w:r>
      <w:r w:rsidR="001E255C">
        <w:t>NO</w:t>
      </w:r>
      <w:r w:rsidR="001E255C" w:rsidRPr="001E255C">
        <w:rPr>
          <w:vertAlign w:val="subscript"/>
        </w:rPr>
        <w:t>X</w:t>
      </w:r>
      <w:r w:rsidR="0024237D">
        <w:t xml:space="preserve"> reductions.</w:t>
      </w:r>
      <w:r w:rsidR="009932BF">
        <w:t xml:space="preserve"> </w:t>
      </w:r>
      <w:r w:rsidR="0024237D">
        <w:t xml:space="preserve">If the facility </w:t>
      </w:r>
      <w:r w:rsidR="00AD3B90">
        <w:t>were</w:t>
      </w:r>
      <w:r w:rsidR="00533FA1">
        <w:t xml:space="preserve"> not</w:t>
      </w:r>
      <w:r w:rsidR="0024237D">
        <w:t xml:space="preserve"> taking action on their own initiative to install a SCR system, Ecology would have pursued Cardinal Glass to install one. </w:t>
      </w:r>
      <w:r>
        <w:t>T</w:t>
      </w:r>
      <w:r w:rsidR="0024237D">
        <w:t>he</w:t>
      </w:r>
      <w:r w:rsidR="009A7A1F">
        <w:t xml:space="preserve"> permit modification</w:t>
      </w:r>
      <w:r w:rsidR="0024237D">
        <w:t xml:space="preserve"> with SWCAA is the only action needed for </w:t>
      </w:r>
      <w:r w:rsidR="00C67AFF">
        <w:t>RH</w:t>
      </w:r>
      <w:r w:rsidR="0024237D">
        <w:t xml:space="preserve"> reductions.</w:t>
      </w:r>
    </w:p>
    <w:p w14:paraId="02039840" w14:textId="264F89F9" w:rsidR="00F00714" w:rsidRDefault="00F00714" w:rsidP="00810C9B">
      <w:pPr>
        <w:pStyle w:val="Caption"/>
        <w:keepNext/>
        <w:spacing w:after="0"/>
      </w:pPr>
      <w:bookmarkStart w:id="76" w:name="_Toc51675375"/>
      <w:r>
        <w:t xml:space="preserve">Table </w:t>
      </w:r>
      <w:fldSimple w:instr=" SEQ Table \* ARABIC ">
        <w:r w:rsidR="00396A5E">
          <w:t>4</w:t>
        </w:r>
      </w:fldSimple>
      <w:r>
        <w:t xml:space="preserve">: </w:t>
      </w:r>
      <w:r w:rsidRPr="00A7226A">
        <w:t xml:space="preserve">Cardinal cost vs Ecology using the EPA </w:t>
      </w:r>
      <w:r w:rsidR="00926136">
        <w:t>Control Cost Manual</w:t>
      </w:r>
      <w:r w:rsidR="00AE47F1">
        <w:t xml:space="preserve"> with June 15,2020,updated </w:t>
      </w:r>
      <w:r w:rsidR="00AE47F1" w:rsidRPr="00AE47F1">
        <w:t>exhaust flow and capital cost</w:t>
      </w:r>
      <w:bookmarkEnd w:id="76"/>
    </w:p>
    <w:tbl>
      <w:tblPr>
        <w:tblStyle w:val="TableGrid"/>
        <w:tblW w:w="5000" w:type="pct"/>
        <w:tblLayout w:type="fixed"/>
        <w:tblLook w:val="04A0" w:firstRow="1" w:lastRow="0" w:firstColumn="1" w:lastColumn="0" w:noHBand="0" w:noVBand="1"/>
      </w:tblPr>
      <w:tblGrid>
        <w:gridCol w:w="1739"/>
        <w:gridCol w:w="1614"/>
        <w:gridCol w:w="3031"/>
        <w:gridCol w:w="1532"/>
        <w:gridCol w:w="1434"/>
      </w:tblGrid>
      <w:tr w:rsidR="004906BF" w:rsidRPr="00F00714" w14:paraId="7B1EEAF5" w14:textId="77777777" w:rsidTr="00C26508">
        <w:trPr>
          <w:cantSplit/>
          <w:trHeight w:val="432"/>
          <w:tblHeader/>
        </w:trPr>
        <w:tc>
          <w:tcPr>
            <w:tcW w:w="930" w:type="pct"/>
            <w:noWrap/>
            <w:vAlign w:val="center"/>
            <w:hideMark/>
          </w:tcPr>
          <w:p w14:paraId="19F60436" w14:textId="77777777" w:rsidR="0024237D" w:rsidRPr="00F00714" w:rsidRDefault="0024237D" w:rsidP="0025114A">
            <w:pPr>
              <w:pStyle w:val="TableParagraph"/>
              <w:rPr>
                <w:b/>
              </w:rPr>
            </w:pPr>
            <w:r w:rsidRPr="00F00714">
              <w:rPr>
                <w:b/>
              </w:rPr>
              <w:t>Company</w:t>
            </w:r>
          </w:p>
        </w:tc>
        <w:tc>
          <w:tcPr>
            <w:tcW w:w="863" w:type="pct"/>
            <w:noWrap/>
            <w:vAlign w:val="center"/>
            <w:hideMark/>
          </w:tcPr>
          <w:p w14:paraId="0E0C3D00" w14:textId="77777777" w:rsidR="0024237D" w:rsidRPr="00F00714" w:rsidRDefault="0024237D" w:rsidP="0025114A">
            <w:pPr>
              <w:pStyle w:val="TableParagraph"/>
              <w:rPr>
                <w:b/>
              </w:rPr>
            </w:pPr>
            <w:r w:rsidRPr="00F00714">
              <w:rPr>
                <w:b/>
              </w:rPr>
              <w:t>Annualized Cost $</w:t>
            </w:r>
          </w:p>
        </w:tc>
        <w:tc>
          <w:tcPr>
            <w:tcW w:w="1621" w:type="pct"/>
            <w:noWrap/>
            <w:vAlign w:val="center"/>
            <w:hideMark/>
          </w:tcPr>
          <w:p w14:paraId="068CD104" w14:textId="59FA21BF" w:rsidR="0024237D" w:rsidRPr="00F00714" w:rsidRDefault="004906BF">
            <w:pPr>
              <w:pStyle w:val="TableParagraph"/>
              <w:rPr>
                <w:b/>
              </w:rPr>
            </w:pPr>
            <w:r>
              <w:rPr>
                <w:b/>
              </w:rPr>
              <w:t>Actual cubic feet per minute</w:t>
            </w:r>
          </w:p>
        </w:tc>
        <w:tc>
          <w:tcPr>
            <w:tcW w:w="819" w:type="pct"/>
            <w:noWrap/>
            <w:vAlign w:val="center"/>
            <w:hideMark/>
          </w:tcPr>
          <w:p w14:paraId="633B39C7" w14:textId="77777777" w:rsidR="0024237D" w:rsidRPr="00F00714" w:rsidRDefault="0024237D" w:rsidP="0025114A">
            <w:pPr>
              <w:pStyle w:val="TableParagraph"/>
              <w:rPr>
                <w:b/>
              </w:rPr>
            </w:pPr>
            <w:r w:rsidRPr="00F00714">
              <w:rPr>
                <w:b/>
              </w:rPr>
              <w:t>Capital $</w:t>
            </w:r>
          </w:p>
        </w:tc>
        <w:tc>
          <w:tcPr>
            <w:tcW w:w="767" w:type="pct"/>
            <w:noWrap/>
            <w:vAlign w:val="center"/>
            <w:hideMark/>
          </w:tcPr>
          <w:p w14:paraId="72247164" w14:textId="77777777" w:rsidR="0024237D" w:rsidRPr="00F00714" w:rsidRDefault="0024237D" w:rsidP="0025114A">
            <w:pPr>
              <w:pStyle w:val="TableParagraph"/>
              <w:rPr>
                <w:b/>
              </w:rPr>
            </w:pPr>
            <w:r w:rsidRPr="00F00714">
              <w:rPr>
                <w:b/>
              </w:rPr>
              <w:t>Annualized $</w:t>
            </w:r>
          </w:p>
        </w:tc>
      </w:tr>
      <w:tr w:rsidR="004906BF" w:rsidRPr="00F00714" w14:paraId="65DE2A42" w14:textId="77777777" w:rsidTr="00C26508">
        <w:trPr>
          <w:cantSplit/>
          <w:trHeight w:val="432"/>
        </w:trPr>
        <w:tc>
          <w:tcPr>
            <w:tcW w:w="930" w:type="pct"/>
            <w:noWrap/>
            <w:vAlign w:val="center"/>
            <w:hideMark/>
          </w:tcPr>
          <w:p w14:paraId="3FD97F92" w14:textId="77777777" w:rsidR="0024237D" w:rsidRPr="00F00714" w:rsidRDefault="0024237D" w:rsidP="0025114A">
            <w:pPr>
              <w:pStyle w:val="TableParagraph"/>
            </w:pPr>
            <w:r w:rsidRPr="00F00714">
              <w:t xml:space="preserve"> Cardinal FG Winlock </w:t>
            </w:r>
          </w:p>
        </w:tc>
        <w:tc>
          <w:tcPr>
            <w:tcW w:w="863" w:type="pct"/>
            <w:noWrap/>
            <w:vAlign w:val="center"/>
            <w:hideMark/>
          </w:tcPr>
          <w:p w14:paraId="15FFCCCC" w14:textId="77777777" w:rsidR="0024237D" w:rsidRPr="00F00714" w:rsidRDefault="0024237D" w:rsidP="0025114A">
            <w:pPr>
              <w:pStyle w:val="TableParagraph"/>
            </w:pPr>
            <w:r w:rsidRPr="00F00714">
              <w:t>5.2</w:t>
            </w:r>
          </w:p>
        </w:tc>
        <w:tc>
          <w:tcPr>
            <w:tcW w:w="1621" w:type="pct"/>
            <w:noWrap/>
            <w:vAlign w:val="center"/>
            <w:hideMark/>
          </w:tcPr>
          <w:p w14:paraId="11606FE6" w14:textId="77777777" w:rsidR="0024237D" w:rsidRPr="00F00714" w:rsidRDefault="0024237D" w:rsidP="0025114A">
            <w:pPr>
              <w:pStyle w:val="TableParagraph"/>
            </w:pPr>
            <w:r w:rsidRPr="00F00714">
              <w:t>181,157</w:t>
            </w:r>
          </w:p>
        </w:tc>
        <w:tc>
          <w:tcPr>
            <w:tcW w:w="819" w:type="pct"/>
            <w:noWrap/>
            <w:vAlign w:val="center"/>
            <w:hideMark/>
          </w:tcPr>
          <w:p w14:paraId="3BB19077" w14:textId="77777777" w:rsidR="0024237D" w:rsidRPr="00F00714" w:rsidRDefault="0024237D" w:rsidP="0025114A">
            <w:pPr>
              <w:pStyle w:val="TableParagraph"/>
            </w:pPr>
            <w:r w:rsidRPr="00F00714">
              <w:t xml:space="preserve">11,000,000 </w:t>
            </w:r>
          </w:p>
        </w:tc>
        <w:tc>
          <w:tcPr>
            <w:tcW w:w="767" w:type="pct"/>
            <w:noWrap/>
            <w:vAlign w:val="center"/>
            <w:hideMark/>
          </w:tcPr>
          <w:p w14:paraId="25FFEAC4" w14:textId="77777777" w:rsidR="0024237D" w:rsidRPr="00F00714" w:rsidRDefault="0024237D" w:rsidP="0025114A">
            <w:pPr>
              <w:pStyle w:val="TableParagraph"/>
            </w:pPr>
            <w:r w:rsidRPr="00F00714">
              <w:t xml:space="preserve">944,000 </w:t>
            </w:r>
          </w:p>
        </w:tc>
      </w:tr>
      <w:tr w:rsidR="004906BF" w:rsidRPr="00F00714" w14:paraId="6D0E99B8" w14:textId="77777777" w:rsidTr="00C26508">
        <w:trPr>
          <w:cantSplit/>
          <w:trHeight w:val="432"/>
        </w:trPr>
        <w:tc>
          <w:tcPr>
            <w:tcW w:w="930" w:type="pct"/>
            <w:noWrap/>
            <w:vAlign w:val="center"/>
            <w:hideMark/>
          </w:tcPr>
          <w:p w14:paraId="170803A4" w14:textId="77777777" w:rsidR="0024237D" w:rsidRPr="00F00714" w:rsidRDefault="0024237D" w:rsidP="0025114A">
            <w:pPr>
              <w:pStyle w:val="TableParagraph"/>
            </w:pPr>
            <w:r w:rsidRPr="00F00714">
              <w:t xml:space="preserve"> EPA Model - R =1.5 </w:t>
            </w:r>
          </w:p>
        </w:tc>
        <w:tc>
          <w:tcPr>
            <w:tcW w:w="863" w:type="pct"/>
            <w:noWrap/>
            <w:vAlign w:val="center"/>
            <w:hideMark/>
          </w:tcPr>
          <w:p w14:paraId="29806001" w14:textId="77777777" w:rsidR="0024237D" w:rsidRPr="00F00714" w:rsidRDefault="0024237D" w:rsidP="0025114A">
            <w:pPr>
              <w:pStyle w:val="TableParagraph"/>
            </w:pPr>
            <w:r w:rsidRPr="00F00714">
              <w:t>6.21</w:t>
            </w:r>
          </w:p>
        </w:tc>
        <w:tc>
          <w:tcPr>
            <w:tcW w:w="1621" w:type="pct"/>
            <w:noWrap/>
            <w:vAlign w:val="center"/>
            <w:hideMark/>
          </w:tcPr>
          <w:p w14:paraId="3CEFCD65" w14:textId="77777777" w:rsidR="0024237D" w:rsidRPr="00F00714" w:rsidRDefault="0024237D" w:rsidP="0025114A">
            <w:pPr>
              <w:pStyle w:val="TableParagraph"/>
            </w:pPr>
            <w:r w:rsidRPr="00F00714">
              <w:t>181,157</w:t>
            </w:r>
          </w:p>
        </w:tc>
        <w:tc>
          <w:tcPr>
            <w:tcW w:w="819" w:type="pct"/>
            <w:noWrap/>
            <w:vAlign w:val="center"/>
            <w:hideMark/>
          </w:tcPr>
          <w:p w14:paraId="56A77D06" w14:textId="77777777" w:rsidR="0024237D" w:rsidRPr="00F00714" w:rsidRDefault="0024237D" w:rsidP="0025114A">
            <w:pPr>
              <w:pStyle w:val="TableParagraph"/>
            </w:pPr>
            <w:r w:rsidRPr="00F00714">
              <w:t>10,899,998</w:t>
            </w:r>
          </w:p>
        </w:tc>
        <w:tc>
          <w:tcPr>
            <w:tcW w:w="767" w:type="pct"/>
            <w:noWrap/>
            <w:vAlign w:val="center"/>
            <w:hideMark/>
          </w:tcPr>
          <w:p w14:paraId="72742725" w14:textId="77777777" w:rsidR="0024237D" w:rsidRPr="00F00714" w:rsidRDefault="0024237D" w:rsidP="0025114A">
            <w:pPr>
              <w:pStyle w:val="TableParagraph"/>
            </w:pPr>
            <w:r w:rsidRPr="00F00714">
              <w:t>1,125,337.57</w:t>
            </w:r>
          </w:p>
        </w:tc>
      </w:tr>
    </w:tbl>
    <w:p w14:paraId="660295E0" w14:textId="77777777" w:rsidR="009E6F97" w:rsidRDefault="009E6F97" w:rsidP="009E6F97">
      <w:pPr>
        <w:pStyle w:val="Heading5"/>
      </w:pPr>
      <w:bookmarkStart w:id="77" w:name="_Toc51673363"/>
      <w:bookmarkStart w:id="78" w:name="_Toc51674408"/>
      <w:r>
        <w:t>Summary and preliminary recommendations</w:t>
      </w:r>
      <w:bookmarkEnd w:id="77"/>
      <w:bookmarkEnd w:id="78"/>
    </w:p>
    <w:p w14:paraId="0B2BFB94" w14:textId="2D7BEBF0" w:rsidR="0024237D" w:rsidRDefault="0024237D" w:rsidP="00DC4EAE">
      <w:pPr>
        <w:pStyle w:val="BulletedList"/>
      </w:pPr>
      <w:r>
        <w:t xml:space="preserve">The operating temperature of the new SCR system will require the existing spray dryer and ESP to operate at higher temperatures, reducing the collection efficiency and requiring a reheat burner. Ecology believes that the </w:t>
      </w:r>
      <w:r w:rsidR="002E5CF3">
        <w:t xml:space="preserve">resulting </w:t>
      </w:r>
      <w:r>
        <w:t xml:space="preserve">minor increase in PM and </w:t>
      </w:r>
      <w:r w:rsidR="00AF3E8D">
        <w:t>SO</w:t>
      </w:r>
      <w:r w:rsidR="00AF3E8D" w:rsidRPr="00AF3E8D">
        <w:rPr>
          <w:vertAlign w:val="subscript"/>
        </w:rPr>
        <w:t>2</w:t>
      </w:r>
      <w:r>
        <w:t xml:space="preserve"> is justified </w:t>
      </w:r>
      <w:r w:rsidR="00D444D7">
        <w:t>by the larger decrease in NO</w:t>
      </w:r>
      <w:r w:rsidR="00D444D7" w:rsidRPr="001E255C">
        <w:rPr>
          <w:vertAlign w:val="subscript"/>
        </w:rPr>
        <w:t>X</w:t>
      </w:r>
      <w:r>
        <w:t>.</w:t>
      </w:r>
    </w:p>
    <w:p w14:paraId="315F1051" w14:textId="1F3D7FBF" w:rsidR="0024237D" w:rsidRDefault="0024237D" w:rsidP="00DC4EAE">
      <w:pPr>
        <w:pStyle w:val="BulletedList"/>
      </w:pPr>
      <w:r>
        <w:t xml:space="preserve">Installation of the SCR in 2021 </w:t>
      </w:r>
      <w:r w:rsidR="002E5CF3">
        <w:t xml:space="preserve">follows </w:t>
      </w:r>
      <w:r>
        <w:t>a reasonable implementation schedule.</w:t>
      </w:r>
    </w:p>
    <w:p w14:paraId="2701CC11" w14:textId="6773DEC5" w:rsidR="0024237D" w:rsidRDefault="0024237D" w:rsidP="00DC4EAE">
      <w:pPr>
        <w:pStyle w:val="BulletedList"/>
      </w:pPr>
      <w:r>
        <w:t xml:space="preserve">The new permit limit for ammonia of 10 ppm and 9.5 </w:t>
      </w:r>
      <w:r w:rsidR="00C00238">
        <w:t>tpy</w:t>
      </w:r>
      <w:r>
        <w:t xml:space="preserve"> is reasonable. </w:t>
      </w:r>
      <w:r w:rsidR="00D444D7">
        <w:t xml:space="preserve">New SCR systems will typically have </w:t>
      </w:r>
      <w:r>
        <w:t>actual ammonia emissions less than 2 ppm</w:t>
      </w:r>
      <w:r w:rsidR="00D444D7">
        <w:t xml:space="preserve"> after tuning</w:t>
      </w:r>
      <w:r>
        <w:t>.</w:t>
      </w:r>
    </w:p>
    <w:p w14:paraId="0E98BE75" w14:textId="5F6EE33D" w:rsidR="0024237D" w:rsidRDefault="0024237D" w:rsidP="00FD5442">
      <w:pPr>
        <w:pStyle w:val="BulletedList"/>
      </w:pPr>
      <w:r>
        <w:t>Based on past operation of the plant, Ecology would expect the facility to operate well below its permitted emission limits.</w:t>
      </w:r>
    </w:p>
    <w:p w14:paraId="0FA703B0" w14:textId="6E487EBA" w:rsidR="008160ED" w:rsidRDefault="00025367" w:rsidP="00C2335A">
      <w:pPr>
        <w:pStyle w:val="Heading4"/>
      </w:pPr>
      <w:bookmarkStart w:id="79" w:name="_Toc49523837"/>
      <w:bookmarkStart w:id="80" w:name="_Toc49863865"/>
      <w:bookmarkStart w:id="81" w:name="_Toc51673364"/>
      <w:bookmarkStart w:id="82" w:name="_Toc51674409"/>
      <w:r>
        <w:lastRenderedPageBreak/>
        <w:t>Coal-fired electrical generation u</w:t>
      </w:r>
      <w:r w:rsidR="008160ED">
        <w:t>nit</w:t>
      </w:r>
      <w:bookmarkEnd w:id="79"/>
      <w:bookmarkEnd w:id="80"/>
      <w:bookmarkEnd w:id="81"/>
      <w:bookmarkEnd w:id="82"/>
    </w:p>
    <w:p w14:paraId="15452C37" w14:textId="32E4C8A8" w:rsidR="008160ED" w:rsidRDefault="008160ED" w:rsidP="008160ED">
      <w:pPr>
        <w:pStyle w:val="Paragraph"/>
      </w:pPr>
      <w:r>
        <w:t xml:space="preserve">TransAlta Centralia Generation (TransAlta) is a coal-fired power plant located east of Centralia, WA. This is the largest source of </w:t>
      </w:r>
      <w:r w:rsidR="001E255C">
        <w:t>NO</w:t>
      </w:r>
      <w:r w:rsidR="001E255C" w:rsidRPr="001E255C">
        <w:rPr>
          <w:vertAlign w:val="subscript"/>
        </w:rPr>
        <w:t>X</w:t>
      </w:r>
      <w:r>
        <w:t xml:space="preserve"> in the state. TransAlta’</w:t>
      </w:r>
      <w:r w:rsidR="005945D8">
        <w:t>s</w:t>
      </w:r>
      <w:r>
        <w:t xml:space="preserve"> large quantity of emissions and tall stacks create </w:t>
      </w:r>
      <w:r w:rsidR="001E255C">
        <w:t>NO</w:t>
      </w:r>
      <w:r w:rsidR="001E255C" w:rsidRPr="001E255C">
        <w:rPr>
          <w:vertAlign w:val="subscript"/>
        </w:rPr>
        <w:t>X</w:t>
      </w:r>
      <w:r>
        <w:t xml:space="preserve"> impacts to all of the </w:t>
      </w:r>
      <w:r w:rsidR="00C00238">
        <w:t>CIAs</w:t>
      </w:r>
      <w:r>
        <w:t xml:space="preserve"> within 300 km of the facility. TransAlta opera</w:t>
      </w:r>
      <w:r w:rsidR="00025367">
        <w:t>tes a two unit, pulverized coal-</w:t>
      </w:r>
      <w:r>
        <w:t xml:space="preserve">fired power plant. Each unit of the plant </w:t>
      </w:r>
      <w:r w:rsidR="00AD3B90">
        <w:t>rates</w:t>
      </w:r>
      <w:r>
        <w:t xml:space="preserve"> at </w:t>
      </w:r>
      <w:r w:rsidR="00214AFC">
        <w:t>702.5-megawatt</w:t>
      </w:r>
      <w:r w:rsidR="00C00238">
        <w:t xml:space="preserve"> (</w:t>
      </w:r>
      <w:r>
        <w:t>MW</w:t>
      </w:r>
      <w:r w:rsidR="00C00238">
        <w:t>)</w:t>
      </w:r>
      <w:r>
        <w:t xml:space="preserve"> net output.</w:t>
      </w:r>
      <w:r w:rsidR="009932BF">
        <w:t xml:space="preserve"> </w:t>
      </w:r>
      <w:r w:rsidR="00025367">
        <w:t>Operation of a coal-fired power plant results in</w:t>
      </w:r>
      <w:r>
        <w:t xml:space="preserve"> visibility</w:t>
      </w:r>
      <w:r w:rsidR="00025367">
        <w:t xml:space="preserve"> impairing</w:t>
      </w:r>
      <w:r>
        <w:t xml:space="preserve"> emissions of PM, SO</w:t>
      </w:r>
      <w:r w:rsidRPr="00004735">
        <w:rPr>
          <w:vertAlign w:val="subscript"/>
        </w:rPr>
        <w:t>2</w:t>
      </w:r>
      <w:r>
        <w:t xml:space="preserve">, and </w:t>
      </w:r>
      <w:r w:rsidR="001E255C">
        <w:t>NO</w:t>
      </w:r>
      <w:r w:rsidR="001E255C" w:rsidRPr="001E255C">
        <w:rPr>
          <w:vertAlign w:val="subscript"/>
        </w:rPr>
        <w:t>X</w:t>
      </w:r>
      <w:r>
        <w:t>.</w:t>
      </w:r>
    </w:p>
    <w:p w14:paraId="19BDF314" w14:textId="4990806D" w:rsidR="008160ED" w:rsidRDefault="008160ED" w:rsidP="008160ED">
      <w:pPr>
        <w:pStyle w:val="Paragraph"/>
      </w:pPr>
      <w:r>
        <w:t>The Coal-Fired Electric Generation Facility Bill was signed 2011, with an ef</w:t>
      </w:r>
      <w:r w:rsidR="00546225">
        <w:t xml:space="preserve">fective date of July 22, 2011. </w:t>
      </w:r>
      <w:r w:rsidR="00AD3B90">
        <w:t>T</w:t>
      </w:r>
      <w:r>
        <w:t>he state’s greenhouse gas emission performance standard for power plants codified at Revised Code</w:t>
      </w:r>
      <w:r w:rsidR="00FF7888">
        <w:t xml:space="preserve"> of</w:t>
      </w:r>
      <w:r>
        <w:t xml:space="preserve"> Washington (RCW) 80.80.040</w:t>
      </w:r>
      <w:r w:rsidR="00AD3B90">
        <w:t xml:space="preserve"> determined the main environmental impacts of the bill</w:t>
      </w:r>
      <w:r>
        <w:t>. The requirements in RCW 80.80.040 have compliance dates for one boiler to be compliant by December 31, 2020, and the other boiler to be compliant by December 31, 2025. TransAlta has acknowledged that they plan to meet the conditions by ceasing coal-fired power generation in the units on the dates specified.</w:t>
      </w:r>
    </w:p>
    <w:p w14:paraId="2723097A" w14:textId="76EAF581" w:rsidR="008160ED" w:rsidRDefault="00A037F1" w:rsidP="008160ED">
      <w:pPr>
        <w:pStyle w:val="Paragraph"/>
      </w:pPr>
      <w:r>
        <w:t xml:space="preserve">Ecology identified </w:t>
      </w:r>
      <w:r w:rsidR="00025367">
        <w:t xml:space="preserve">TransAlta </w:t>
      </w:r>
      <w:r w:rsidR="008160ED">
        <w:t xml:space="preserve">as a best available retrofit technology (BART) eligible facility in the first implementation period of RH. </w:t>
      </w:r>
      <w:r w:rsidR="00FE6D85">
        <w:t>Ecology issued a</w:t>
      </w:r>
      <w:r w:rsidR="00025367">
        <w:t xml:space="preserve"> BART O</w:t>
      </w:r>
      <w:r w:rsidR="008160ED">
        <w:t xml:space="preserve">rder to TransAlta on June 18, 2010. This BART Order required the installation of a SNCR emission control </w:t>
      </w:r>
      <w:r w:rsidR="00FE6D85">
        <w:t>device. Ecology issued</w:t>
      </w:r>
      <w:r w:rsidR="008160ED">
        <w:t xml:space="preserve"> </w:t>
      </w:r>
      <w:r w:rsidR="00FE6D85">
        <w:t>a</w:t>
      </w:r>
      <w:r w:rsidR="00610458">
        <w:t xml:space="preserve"> revision </w:t>
      </w:r>
      <w:r w:rsidR="008731AF">
        <w:t>to the BART O</w:t>
      </w:r>
      <w:r w:rsidR="00610458">
        <w:t>rder</w:t>
      </w:r>
      <w:r w:rsidR="008160ED">
        <w:t xml:space="preserve"> on December 13, 2011. The revision incorporated an optimization study on urea volume injections for the SNCR. </w:t>
      </w:r>
      <w:r w:rsidR="00FE6D85">
        <w:t xml:space="preserve">Ecology issued a </w:t>
      </w:r>
      <w:r w:rsidR="008160ED">
        <w:t>se</w:t>
      </w:r>
      <w:r w:rsidR="00513B97">
        <w:t>cond revision to the BART order</w:t>
      </w:r>
      <w:r w:rsidR="008160ED">
        <w:t xml:space="preserve"> on July 29, 2020. The second revision required the installation of automated controls on the combustion system, a lower </w:t>
      </w:r>
      <w:r w:rsidR="001E255C">
        <w:t>NO</w:t>
      </w:r>
      <w:r w:rsidR="001E255C" w:rsidRPr="001E255C">
        <w:rPr>
          <w:vertAlign w:val="subscript"/>
        </w:rPr>
        <w:t>X</w:t>
      </w:r>
      <w:r w:rsidR="008160ED">
        <w:t xml:space="preserve"> emission limit, and removal of specific urea injection volumes.</w:t>
      </w:r>
    </w:p>
    <w:p w14:paraId="062F648A" w14:textId="65BC8377" w:rsidR="008160ED" w:rsidRDefault="008160ED" w:rsidP="008160ED">
      <w:pPr>
        <w:pStyle w:val="Paragraph"/>
      </w:pPr>
      <w:r>
        <w:t xml:space="preserve">In the summer of 2019, TransAlta experienced emission opacity readings that would have exceeded the opacity limits if TransAlta had not reduced plant capacity to compensate. During a maintenance </w:t>
      </w:r>
      <w:r w:rsidR="00FE6D85">
        <w:t>shutdown</w:t>
      </w:r>
      <w:r>
        <w:t xml:space="preserve">, the </w:t>
      </w:r>
      <w:r w:rsidR="00FE6D85">
        <w:t xml:space="preserve">facility examined their </w:t>
      </w:r>
      <w:r>
        <w:t>ESPs</w:t>
      </w:r>
      <w:r w:rsidR="00FE6D85">
        <w:t>.</w:t>
      </w:r>
      <w:r>
        <w:t xml:space="preserve"> The ESPs had a visual fouling of all interior components, which dramatically reduced their efficiency. </w:t>
      </w:r>
      <w:r w:rsidR="00FF7888">
        <w:t>T</w:t>
      </w:r>
      <w:r>
        <w:t xml:space="preserve">he </w:t>
      </w:r>
      <w:r w:rsidR="00FE6D85">
        <w:t xml:space="preserve">facility analyzed the </w:t>
      </w:r>
      <w:r w:rsidR="00610458">
        <w:t xml:space="preserve">material in the ESPs </w:t>
      </w:r>
      <w:r>
        <w:t xml:space="preserve">and identified </w:t>
      </w:r>
      <w:r w:rsidR="00FE6D85">
        <w:t xml:space="preserve">it </w:t>
      </w:r>
      <w:r>
        <w:t>as ammonia sulfate. The source of ammonia in the system was from the reactions of urea in the SNCR system.</w:t>
      </w:r>
    </w:p>
    <w:p w14:paraId="6330C617" w14:textId="5746E47A" w:rsidR="008160ED" w:rsidRDefault="008160ED" w:rsidP="008160ED">
      <w:pPr>
        <w:pStyle w:val="Paragraph"/>
        <w:rPr>
          <w:b/>
          <w:bCs/>
        </w:rPr>
      </w:pPr>
      <w:r>
        <w:t xml:space="preserve">TransAlta installed a computerized emission control system called a Combustion Optimization System with Neural Network program (Neural Net) to decrease the ammonia slip in the SNCR in coordination with SWCAA and Ecology. SWCAA agreed to use enforcement discretion in 2019 on the urea injection </w:t>
      </w:r>
      <w:r w:rsidR="00747912">
        <w:t>rate mandated in the 2011 BART O</w:t>
      </w:r>
      <w:r>
        <w:t xml:space="preserve">rder revision while TransAlta was tuning the Neural Net. TransAlta collected enough process data during tuning of the neural net to agree to a more stringent </w:t>
      </w:r>
      <w:r w:rsidR="001E255C">
        <w:t>NO</w:t>
      </w:r>
      <w:r w:rsidR="001E255C" w:rsidRPr="001E255C">
        <w:rPr>
          <w:vertAlign w:val="subscript"/>
        </w:rPr>
        <w:t>X</w:t>
      </w:r>
      <w:r>
        <w:t xml:space="preserve"> emission standard of 0.18 lb/MMBtu than the 0.21 lb/MMBt</w:t>
      </w:r>
      <w:r w:rsidR="00747912">
        <w:t>u required under the 2011 BART O</w:t>
      </w:r>
      <w:r>
        <w:t>rder revision.</w:t>
      </w:r>
    </w:p>
    <w:p w14:paraId="612C56E4" w14:textId="77777777" w:rsidR="008160ED" w:rsidRDefault="008160ED" w:rsidP="008160ED">
      <w:pPr>
        <w:pStyle w:val="Paragraph"/>
      </w:pPr>
      <w:r>
        <w:lastRenderedPageBreak/>
        <w:t>Because the Neural Net is able to maintain a more stringent emission standard, Ecology eliminated unnecessary requirements when issuing the second BART order revision. Specifically, the 2020 order:</w:t>
      </w:r>
    </w:p>
    <w:p w14:paraId="7D0E504D" w14:textId="1AF111BF" w:rsidR="008160ED" w:rsidRDefault="00FE6D85" w:rsidP="008160ED">
      <w:pPr>
        <w:pStyle w:val="BulletedList"/>
      </w:pPr>
      <w:r>
        <w:t>Removed</w:t>
      </w:r>
      <w:r w:rsidR="008160ED">
        <w:t xml:space="preserve"> the requirement of a specific urea injection rate to allow TransAlta to inject urea as required to meet the new emission standard.</w:t>
      </w:r>
    </w:p>
    <w:p w14:paraId="292B9442" w14:textId="51F8E6EA" w:rsidR="008160ED" w:rsidRDefault="00FE6D85" w:rsidP="008160ED">
      <w:pPr>
        <w:pStyle w:val="BulletedList"/>
      </w:pPr>
      <w:r>
        <w:t>Removed</w:t>
      </w:r>
      <w:r w:rsidR="008160ED">
        <w:t xml:space="preserve"> the requirement to analyze and report nitrogen and sulfur coal content as the facility would have to meet </w:t>
      </w:r>
      <w:r w:rsidR="001E255C">
        <w:t>NO</w:t>
      </w:r>
      <w:r w:rsidR="001E255C" w:rsidRPr="001E255C">
        <w:rPr>
          <w:vertAlign w:val="subscript"/>
        </w:rPr>
        <w:t>X</w:t>
      </w:r>
      <w:r w:rsidR="008160ED">
        <w:t>, SO</w:t>
      </w:r>
      <w:r w:rsidR="008160ED" w:rsidRPr="008146AE">
        <w:rPr>
          <w:vertAlign w:val="subscript"/>
        </w:rPr>
        <w:t>2</w:t>
      </w:r>
      <w:r w:rsidR="008160ED">
        <w:t xml:space="preserve">, and </w:t>
      </w:r>
      <w:r w:rsidR="00D502B4">
        <w:t>PM</w:t>
      </w:r>
      <w:r w:rsidR="008160ED">
        <w:t xml:space="preserve"> emission standards regardless of the coal used.</w:t>
      </w:r>
    </w:p>
    <w:p w14:paraId="07E36C3D" w14:textId="54BF8C07" w:rsidR="008160ED" w:rsidRDefault="00FE6D85" w:rsidP="008160ED">
      <w:pPr>
        <w:pStyle w:val="BulletedList"/>
      </w:pPr>
      <w:r>
        <w:t>Changed</w:t>
      </w:r>
      <w:r w:rsidR="008160ED">
        <w:t xml:space="preserve"> the requirement for ammonia emission monitoring to require monitoring only when using a urea injection rate of greater than 1.5 gallons per minute.</w:t>
      </w:r>
    </w:p>
    <w:p w14:paraId="3ABC25D8" w14:textId="77777777" w:rsidR="008160ED" w:rsidRDefault="008160ED" w:rsidP="00C2335A">
      <w:pPr>
        <w:pStyle w:val="Heading5"/>
      </w:pPr>
      <w:bookmarkStart w:id="83" w:name="_Toc49523838"/>
      <w:bookmarkStart w:id="84" w:name="_Toc49863866"/>
      <w:bookmarkStart w:id="85" w:name="_Toc51673365"/>
      <w:bookmarkStart w:id="86" w:name="_Toc51674410"/>
      <w:r>
        <w:t>Four factor analysis</w:t>
      </w:r>
      <w:bookmarkEnd w:id="83"/>
      <w:bookmarkEnd w:id="84"/>
      <w:bookmarkEnd w:id="85"/>
      <w:bookmarkEnd w:id="86"/>
    </w:p>
    <w:p w14:paraId="5F04A675" w14:textId="0427457C" w:rsidR="008160ED" w:rsidRDefault="008160ED" w:rsidP="008160ED">
      <w:pPr>
        <w:pStyle w:val="Paragraph"/>
      </w:pPr>
      <w:r>
        <w:t xml:space="preserve">The </w:t>
      </w:r>
      <w:r w:rsidR="007F764D">
        <w:t>FFA</w:t>
      </w:r>
      <w:r>
        <w:t xml:space="preserve"> of TransAlta</w:t>
      </w:r>
      <w:r w:rsidR="00765E66">
        <w:t xml:space="preserve"> reflects that </w:t>
      </w:r>
      <w:r>
        <w:t xml:space="preserve">RCW 80.80 and the </w:t>
      </w:r>
      <w:r w:rsidR="00D502B4">
        <w:t>Memorandum of Agreement (</w:t>
      </w:r>
      <w:r>
        <w:t>MOA</w:t>
      </w:r>
      <w:r w:rsidR="00D502B4">
        <w:t>)</w:t>
      </w:r>
      <w:r>
        <w:t xml:space="preserve"> between TransAlta an</w:t>
      </w:r>
      <w:r w:rsidR="00747912">
        <w:t>d the Governor of Washington that</w:t>
      </w:r>
      <w:r>
        <w:t xml:space="preserve"> TransAlta </w:t>
      </w:r>
      <w:r w:rsidR="00747912">
        <w:t>will completely cease</w:t>
      </w:r>
      <w:r>
        <w:t xml:space="preserve"> coal-fired power generatio</w:t>
      </w:r>
      <w:r w:rsidR="00747912">
        <w:t xml:space="preserve">n by December 31, 2025. It </w:t>
      </w:r>
      <w:r>
        <w:t>also discuss</w:t>
      </w:r>
      <w:r w:rsidR="00747912">
        <w:t>es the second BART O</w:t>
      </w:r>
      <w:r>
        <w:t xml:space="preserve">rder revision that applies reduced </w:t>
      </w:r>
      <w:r w:rsidR="001E255C">
        <w:t>NO</w:t>
      </w:r>
      <w:r w:rsidR="001E255C" w:rsidRPr="001E255C">
        <w:rPr>
          <w:vertAlign w:val="subscript"/>
        </w:rPr>
        <w:t>X</w:t>
      </w:r>
      <w:r>
        <w:t xml:space="preserve"> emission standards on the facility.</w:t>
      </w:r>
    </w:p>
    <w:p w14:paraId="5072D249" w14:textId="77777777" w:rsidR="008160ED" w:rsidRDefault="008160ED" w:rsidP="00C2335A">
      <w:pPr>
        <w:pStyle w:val="Heading6"/>
      </w:pPr>
      <w:bookmarkStart w:id="87" w:name="_Toc49523839"/>
      <w:bookmarkStart w:id="88" w:name="_Toc49863867"/>
      <w:bookmarkStart w:id="89" w:name="_Toc51673366"/>
      <w:r>
        <w:t>Cost of compliance</w:t>
      </w:r>
      <w:bookmarkEnd w:id="87"/>
      <w:bookmarkEnd w:id="88"/>
      <w:bookmarkEnd w:id="89"/>
    </w:p>
    <w:p w14:paraId="5FFA170E" w14:textId="12C50C15" w:rsidR="008160ED" w:rsidRDefault="00B12D54" w:rsidP="008160ED">
      <w:pPr>
        <w:pStyle w:val="Paragraph"/>
      </w:pPr>
      <w:r>
        <w:t>The agreement to cease coal-fired power generation greatly influences t</w:t>
      </w:r>
      <w:r w:rsidR="008160ED">
        <w:t>he</w:t>
      </w:r>
      <w:r w:rsidR="00765E66">
        <w:t xml:space="preserve"> compliance cost for installin</w:t>
      </w:r>
      <w:r w:rsidR="008160ED">
        <w:t xml:space="preserve"> any emission controls at TransAlta. The first unit will cease operation on December 31, 2020</w:t>
      </w:r>
      <w:r w:rsidR="009B2671">
        <w:t>. This will halve</w:t>
      </w:r>
      <w:r w:rsidR="008160ED">
        <w:t xml:space="preserve"> the plant emissions from coal-fired power generation.</w:t>
      </w:r>
      <w:r w:rsidR="009932BF">
        <w:t xml:space="preserve"> </w:t>
      </w:r>
      <w:r w:rsidR="009B2671">
        <w:t>This emission reduction requires no capital cost.</w:t>
      </w:r>
      <w:r w:rsidR="008160ED">
        <w:t xml:space="preserve"> Operational costs to ensure that the unit </w:t>
      </w:r>
      <w:r w:rsidR="009B2671">
        <w:t>will</w:t>
      </w:r>
      <w:r w:rsidR="008160ED">
        <w:t xml:space="preserve"> no longer be able to generate power from coal will occur, but </w:t>
      </w:r>
      <w:r w:rsidR="009B2671">
        <w:t xml:space="preserve">all parties </w:t>
      </w:r>
      <w:r w:rsidR="008160ED">
        <w:t xml:space="preserve">already considered </w:t>
      </w:r>
      <w:r w:rsidR="009B2671">
        <w:t xml:space="preserve">this </w:t>
      </w:r>
      <w:r w:rsidR="008160ED">
        <w:t>as part of the MOA.</w:t>
      </w:r>
    </w:p>
    <w:p w14:paraId="18535A71" w14:textId="351D9C11" w:rsidR="008160ED" w:rsidRDefault="008160ED" w:rsidP="008160ED">
      <w:pPr>
        <w:pStyle w:val="Paragraph"/>
      </w:pPr>
      <w:r>
        <w:t xml:space="preserve">The second </w:t>
      </w:r>
      <w:r w:rsidR="003D68EC">
        <w:t xml:space="preserve">BART </w:t>
      </w:r>
      <w:r w:rsidR="00747912">
        <w:t>O</w:t>
      </w:r>
      <w:r>
        <w:t xml:space="preserve">rder revision includes the installation of the neural net to control combustion variables in one of the boilers. </w:t>
      </w:r>
      <w:r w:rsidR="009B2671">
        <w:t>TransAlta proposed t</w:t>
      </w:r>
      <w:r>
        <w:t xml:space="preserve">his installation and during optimization testing the data confirmed that the </w:t>
      </w:r>
      <w:r w:rsidR="009B2671">
        <w:t xml:space="preserve">controls could reduce the </w:t>
      </w:r>
      <w:r w:rsidR="001E255C">
        <w:t>NO</w:t>
      </w:r>
      <w:r w:rsidR="001E255C" w:rsidRPr="001E255C">
        <w:rPr>
          <w:vertAlign w:val="subscript"/>
        </w:rPr>
        <w:t>X</w:t>
      </w:r>
      <w:r>
        <w:t xml:space="preserve"> emission limit. Ecology did not request the costs associated with </w:t>
      </w:r>
      <w:r w:rsidR="003D68EC">
        <w:t>installing</w:t>
      </w:r>
      <w:r>
        <w:t xml:space="preserve">, testing, and optimizing of the neural net as </w:t>
      </w:r>
      <w:r w:rsidR="003D68EC">
        <w:t xml:space="preserve">it was proposed by </w:t>
      </w:r>
      <w:r w:rsidR="009B2671">
        <w:t xml:space="preserve">TransAlta </w:t>
      </w:r>
      <w:r w:rsidR="003D68EC">
        <w:t xml:space="preserve">and </w:t>
      </w:r>
      <w:r>
        <w:t xml:space="preserve">resulted in decreased </w:t>
      </w:r>
      <w:r w:rsidR="001E255C">
        <w:t>NO</w:t>
      </w:r>
      <w:r w:rsidR="001E255C" w:rsidRPr="001E255C">
        <w:rPr>
          <w:vertAlign w:val="subscript"/>
        </w:rPr>
        <w:t>X</w:t>
      </w:r>
      <w:r>
        <w:t xml:space="preserve"> emissions for the remaining coal-fired power generation life of the facility.</w:t>
      </w:r>
    </w:p>
    <w:p w14:paraId="50C1592C" w14:textId="77777777" w:rsidR="008160ED" w:rsidRDefault="008160ED" w:rsidP="00C2335A">
      <w:pPr>
        <w:pStyle w:val="Heading6"/>
      </w:pPr>
      <w:bookmarkStart w:id="90" w:name="_Toc49523840"/>
      <w:bookmarkStart w:id="91" w:name="_Toc49863868"/>
      <w:bookmarkStart w:id="92" w:name="_Toc51673367"/>
      <w:r>
        <w:t>Time necessary for compliance</w:t>
      </w:r>
      <w:bookmarkEnd w:id="90"/>
      <w:bookmarkEnd w:id="91"/>
      <w:bookmarkEnd w:id="92"/>
    </w:p>
    <w:p w14:paraId="2486C8B3" w14:textId="40F3ADA9" w:rsidR="008160ED" w:rsidRPr="001D3936" w:rsidRDefault="008160ED" w:rsidP="008160ED">
      <w:pPr>
        <w:pStyle w:val="Paragraph"/>
      </w:pPr>
      <w:r>
        <w:t>TransAlta will cease coal-fired power generation on one of their units by December 31, 2020. TransAlta will cease coal-fired power generation on their last unit by December 31, 2025. The neural net installation has already occurred and the more stringent emission limit applies to the facility until it ceases coal-fired power generation.</w:t>
      </w:r>
    </w:p>
    <w:p w14:paraId="61CE3B17" w14:textId="77777777" w:rsidR="008160ED" w:rsidRDefault="008160ED" w:rsidP="00C2335A">
      <w:pPr>
        <w:pStyle w:val="Heading6"/>
      </w:pPr>
      <w:bookmarkStart w:id="93" w:name="_Toc49523841"/>
      <w:bookmarkStart w:id="94" w:name="_Toc49863869"/>
      <w:bookmarkStart w:id="95" w:name="_Toc51673368"/>
      <w:r>
        <w:lastRenderedPageBreak/>
        <w:t>Energy and non-air quality environmental impacts of compliance</w:t>
      </w:r>
      <w:bookmarkEnd w:id="93"/>
      <w:bookmarkEnd w:id="94"/>
      <w:bookmarkEnd w:id="95"/>
    </w:p>
    <w:p w14:paraId="3FBDC6CF" w14:textId="1BA27723" w:rsidR="008160ED" w:rsidRDefault="008160ED" w:rsidP="008160ED">
      <w:pPr>
        <w:pStyle w:val="Paragraph"/>
      </w:pPr>
      <w:r>
        <w:t>The energy required to meet compliance for ceasing coal-fired power operation is zero.</w:t>
      </w:r>
      <w:r w:rsidR="009932BF">
        <w:t xml:space="preserve"> </w:t>
      </w:r>
      <w:r w:rsidR="003C0B70">
        <w:t>We did not take n</w:t>
      </w:r>
      <w:r>
        <w:t>on-air quality environmental impacts for the future of the facility</w:t>
      </w:r>
      <w:r w:rsidR="00E02730">
        <w:t xml:space="preserve"> </w:t>
      </w:r>
      <w:r>
        <w:t>into account for this analysis.</w:t>
      </w:r>
    </w:p>
    <w:p w14:paraId="6E80CACA" w14:textId="070F573A" w:rsidR="008160ED" w:rsidRPr="001D3936" w:rsidRDefault="008160ED" w:rsidP="008160ED">
      <w:pPr>
        <w:pStyle w:val="Paragraph"/>
      </w:pPr>
      <w:r>
        <w:t xml:space="preserve">For the neural net, TransAlta is anticipating payback within a couple of years. This is </w:t>
      </w:r>
      <w:r w:rsidR="00CE2157">
        <w:t>because</w:t>
      </w:r>
      <w:r>
        <w:t xml:space="preserve"> more efficient combustion controls reduc</w:t>
      </w:r>
      <w:r w:rsidR="00D45E83">
        <w:t>e</w:t>
      </w:r>
      <w:r>
        <w:t xml:space="preserve"> the amount of coal required to produce the same amount of heat.</w:t>
      </w:r>
    </w:p>
    <w:p w14:paraId="5DF08E2F" w14:textId="77777777" w:rsidR="008160ED" w:rsidRDefault="008160ED" w:rsidP="00C2335A">
      <w:pPr>
        <w:pStyle w:val="Heading6"/>
      </w:pPr>
      <w:bookmarkStart w:id="96" w:name="_Toc49523842"/>
      <w:bookmarkStart w:id="97" w:name="_Toc49863870"/>
      <w:bookmarkStart w:id="98" w:name="_Toc51673369"/>
      <w:r>
        <w:t>Remaining useful life of any potentially affected sources</w:t>
      </w:r>
      <w:bookmarkEnd w:id="96"/>
      <w:bookmarkEnd w:id="97"/>
      <w:bookmarkEnd w:id="98"/>
    </w:p>
    <w:p w14:paraId="708B8301" w14:textId="0210232D" w:rsidR="008160ED" w:rsidRDefault="008160ED" w:rsidP="008160ED">
      <w:pPr>
        <w:pStyle w:val="Paragraph"/>
      </w:pPr>
      <w:r>
        <w:t xml:space="preserve">The facility useful life for coal-fired power generation is </w:t>
      </w:r>
      <w:r w:rsidR="003D68EC">
        <w:t xml:space="preserve">until </w:t>
      </w:r>
      <w:r>
        <w:t>December 31, 2020, for one unit and December 31, 2025, for the other unit.</w:t>
      </w:r>
    </w:p>
    <w:p w14:paraId="029B1FAE" w14:textId="77777777" w:rsidR="009E6F97" w:rsidRDefault="009E6F97" w:rsidP="009E6F97">
      <w:pPr>
        <w:pStyle w:val="Heading5"/>
      </w:pPr>
      <w:bookmarkStart w:id="99" w:name="_Toc51673370"/>
      <w:bookmarkStart w:id="100" w:name="_Toc51674411"/>
      <w:r>
        <w:t>Summary and preliminary recommendations</w:t>
      </w:r>
      <w:bookmarkEnd w:id="99"/>
      <w:bookmarkEnd w:id="100"/>
    </w:p>
    <w:p w14:paraId="79617CF0" w14:textId="2EC55AF7" w:rsidR="008160ED" w:rsidRPr="003059F9" w:rsidRDefault="009E6F97" w:rsidP="008160ED">
      <w:pPr>
        <w:pStyle w:val="Paragraph"/>
      </w:pPr>
      <w:r>
        <w:t xml:space="preserve"> </w:t>
      </w:r>
      <w:r w:rsidR="008160ED">
        <w:t xml:space="preserve">TransAlta already has an agreement to cease coal-fired power generation by December 31, 2025. This will result in coal related emissions from the facility </w:t>
      </w:r>
      <w:r w:rsidR="003D68EC">
        <w:t>going</w:t>
      </w:r>
      <w:r w:rsidR="008160ED">
        <w:t xml:space="preserve"> to zero. With the installation of the neural net, the facility will also have a reduced </w:t>
      </w:r>
      <w:r w:rsidR="001E255C">
        <w:t>NO</w:t>
      </w:r>
      <w:r w:rsidR="001E255C" w:rsidRPr="001E255C">
        <w:rPr>
          <w:vertAlign w:val="subscript"/>
        </w:rPr>
        <w:t>X</w:t>
      </w:r>
      <w:r w:rsidR="008160ED">
        <w:t xml:space="preserve"> emission standard for the remaining life of the facility. For these reasons, Ecology</w:t>
      </w:r>
      <w:r w:rsidR="00765E66">
        <w:t xml:space="preserve"> does not anticipate </w:t>
      </w:r>
      <w:r w:rsidR="008160ED">
        <w:t>further emission reductions or emission control devices for Regional Haze purposes.</w:t>
      </w:r>
    </w:p>
    <w:p w14:paraId="2C0307D0" w14:textId="5024FD20" w:rsidR="008160ED" w:rsidRPr="00854163" w:rsidRDefault="00291BD4" w:rsidP="00C2335A">
      <w:pPr>
        <w:pStyle w:val="Heading4"/>
      </w:pPr>
      <w:bookmarkStart w:id="101" w:name="_Toc49523844"/>
      <w:bookmarkStart w:id="102" w:name="_Toc49863872"/>
      <w:bookmarkStart w:id="103" w:name="_Toc51673371"/>
      <w:bookmarkStart w:id="104" w:name="_Toc51674412"/>
      <w:r>
        <w:t>Primary a</w:t>
      </w:r>
      <w:r w:rsidR="008160ED" w:rsidRPr="00854163">
        <w:t xml:space="preserve">luminum </w:t>
      </w:r>
      <w:r>
        <w:t>p</w:t>
      </w:r>
      <w:r w:rsidR="008160ED" w:rsidRPr="00854163">
        <w:t>roduction</w:t>
      </w:r>
      <w:bookmarkEnd w:id="101"/>
      <w:bookmarkEnd w:id="102"/>
      <w:bookmarkEnd w:id="103"/>
      <w:bookmarkEnd w:id="104"/>
    </w:p>
    <w:p w14:paraId="4F544B33" w14:textId="0F4C0C39" w:rsidR="00D45E83" w:rsidRDefault="008160ED" w:rsidP="008622A9">
      <w:pPr>
        <w:pStyle w:val="Paragraph"/>
      </w:pPr>
      <w:r w:rsidRPr="00854163">
        <w:t>The state of Washington currently has</w:t>
      </w:r>
      <w:r w:rsidR="00291BD4">
        <w:t xml:space="preserve"> two primary aluminum reduction</w:t>
      </w:r>
      <w:r w:rsidRPr="00854163">
        <w:t xml:space="preserve"> facilities with active air permits</w:t>
      </w:r>
      <w:r w:rsidR="00D45E83">
        <w:t>:</w:t>
      </w:r>
      <w:r w:rsidR="009932BF">
        <w:t xml:space="preserve"> </w:t>
      </w:r>
    </w:p>
    <w:p w14:paraId="727DD1DE" w14:textId="7190D604" w:rsidR="00D45E83" w:rsidRDefault="008160ED" w:rsidP="004F39D3">
      <w:pPr>
        <w:pStyle w:val="BulletedList"/>
      </w:pPr>
      <w:r w:rsidRPr="00854163">
        <w:t>Alcoa Primary Metals Wenatchee Works located in Wenatchee, Washington</w:t>
      </w:r>
      <w:r w:rsidR="002433FC">
        <w:t xml:space="preserve">. </w:t>
      </w:r>
    </w:p>
    <w:p w14:paraId="78096CA9" w14:textId="5C9F07B4" w:rsidR="00D45E83" w:rsidRDefault="008160ED" w:rsidP="004F39D3">
      <w:pPr>
        <w:pStyle w:val="BulletedList"/>
      </w:pPr>
      <w:r w:rsidRPr="00854163">
        <w:t>Alcoa Primary Metals Intalco Works located in Ferndale, Washington</w:t>
      </w:r>
      <w:r w:rsidR="00D45E83" w:rsidRPr="00D45E83">
        <w:t xml:space="preserve"> </w:t>
      </w:r>
    </w:p>
    <w:p w14:paraId="0B4F7D86" w14:textId="0EC60587" w:rsidR="008160ED" w:rsidRPr="00854163" w:rsidRDefault="00D45E83" w:rsidP="00D45E83">
      <w:pPr>
        <w:pStyle w:val="Paragraph"/>
      </w:pPr>
      <w:r>
        <w:t>Alcoa curtailed the Wenatchee facility in 201</w:t>
      </w:r>
      <w:r w:rsidR="003066E2">
        <w:t>5</w:t>
      </w:r>
      <w:r>
        <w:t xml:space="preserve"> and the Ferndale facility in 2020, </w:t>
      </w:r>
      <w:r w:rsidR="00DE7182">
        <w:t>while</w:t>
      </w:r>
      <w:r w:rsidR="00291BD4">
        <w:t xml:space="preserve"> </w:t>
      </w:r>
      <w:r w:rsidR="00DE7182">
        <w:t>keeping</w:t>
      </w:r>
      <w:r>
        <w:t xml:space="preserve"> both air permits active.</w:t>
      </w:r>
    </w:p>
    <w:p w14:paraId="2771BC4D" w14:textId="77777777" w:rsidR="008160ED" w:rsidRPr="00854163" w:rsidRDefault="008160ED" w:rsidP="008622A9">
      <w:pPr>
        <w:pStyle w:val="Paragraph"/>
      </w:pPr>
      <w:r w:rsidRPr="00854163">
        <w:t>In 2014, the emissions from the sites were as follows:</w:t>
      </w:r>
    </w:p>
    <w:p w14:paraId="702DBE42" w14:textId="23E5F82C" w:rsidR="008B06D3" w:rsidRDefault="008B06D3" w:rsidP="00810C9B">
      <w:pPr>
        <w:pStyle w:val="Caption"/>
        <w:keepNext/>
        <w:spacing w:after="0"/>
      </w:pPr>
      <w:bookmarkStart w:id="105" w:name="_Toc51675376"/>
      <w:r>
        <w:t xml:space="preserve">Table </w:t>
      </w:r>
      <w:fldSimple w:instr=" SEQ Table \* ARABIC ">
        <w:r w:rsidR="00396A5E">
          <w:t>5</w:t>
        </w:r>
      </w:fldSimple>
      <w:r w:rsidR="00396A5E">
        <w:t xml:space="preserve">: </w:t>
      </w:r>
      <w:r w:rsidR="00DC5162">
        <w:t>Primary aluminum facility 2014 emissions</w:t>
      </w:r>
      <w:bookmarkEnd w:id="105"/>
    </w:p>
    <w:tbl>
      <w:tblPr>
        <w:tblW w:w="5000" w:type="pct"/>
        <w:tblLook w:val="04A0" w:firstRow="1" w:lastRow="0" w:firstColumn="1" w:lastColumn="0" w:noHBand="0" w:noVBand="1"/>
      </w:tblPr>
      <w:tblGrid>
        <w:gridCol w:w="5635"/>
        <w:gridCol w:w="1289"/>
        <w:gridCol w:w="1199"/>
        <w:gridCol w:w="1227"/>
      </w:tblGrid>
      <w:tr w:rsidR="008160ED" w:rsidRPr="000A3201" w14:paraId="2418963C" w14:textId="77777777" w:rsidTr="008B06D3">
        <w:trPr>
          <w:trHeight w:val="432"/>
          <w:tblHeader/>
        </w:trPr>
        <w:tc>
          <w:tcPr>
            <w:tcW w:w="3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9284" w14:textId="63B5DB00" w:rsidR="008160ED" w:rsidRPr="006D219C" w:rsidRDefault="008160ED" w:rsidP="008B06D3">
            <w:pPr>
              <w:pStyle w:val="TableParagraph"/>
              <w:rPr>
                <w:b/>
              </w:rPr>
            </w:pPr>
            <w:r w:rsidRPr="006D219C">
              <w:rPr>
                <w:b/>
              </w:rPr>
              <w:t>Facility</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14:paraId="416EA2CD" w14:textId="7D2FFE96" w:rsidR="008160ED" w:rsidRPr="006D219C" w:rsidRDefault="002323E2" w:rsidP="008B06D3">
            <w:pPr>
              <w:pStyle w:val="TableParagraph"/>
              <w:rPr>
                <w:b/>
              </w:rPr>
            </w:pPr>
            <w:r>
              <w:rPr>
                <w:b/>
              </w:rPr>
              <w:t>Tons</w:t>
            </w:r>
            <w:r w:rsidR="008160ED" w:rsidRPr="006D219C">
              <w:rPr>
                <w:b/>
              </w:rPr>
              <w:t xml:space="preserve"> PM</w:t>
            </w:r>
            <w:r w:rsidR="008160ED" w:rsidRPr="006D219C">
              <w:rPr>
                <w:b/>
                <w:vertAlign w:val="subscript"/>
              </w:rPr>
              <w:t>25</w:t>
            </w:r>
            <w:r w:rsidR="008160ED" w:rsidRPr="006D219C">
              <w:rPr>
                <w:b/>
              </w:rPr>
              <w:t xml:space="preserve"> </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4C686BF0" w14:textId="2C0645C9" w:rsidR="008160ED" w:rsidRPr="006D219C" w:rsidRDefault="002323E2" w:rsidP="008B06D3">
            <w:pPr>
              <w:pStyle w:val="TableParagraph"/>
              <w:rPr>
                <w:b/>
              </w:rPr>
            </w:pPr>
            <w:r>
              <w:rPr>
                <w:b/>
              </w:rPr>
              <w:t>Tons</w:t>
            </w:r>
            <w:r w:rsidR="008160ED" w:rsidRPr="006D219C">
              <w:rPr>
                <w:b/>
              </w:rPr>
              <w:t xml:space="preserve"> SO</w:t>
            </w:r>
            <w:r w:rsidR="008160ED" w:rsidRPr="006D219C">
              <w:rPr>
                <w:b/>
                <w:vertAlign w:val="subscript"/>
              </w:rPr>
              <w:t>2</w:t>
            </w:r>
            <w:r w:rsidR="008160ED" w:rsidRPr="006D219C">
              <w:rPr>
                <w:b/>
              </w:rPr>
              <w:t xml:space="preserve"> </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5D01AB61" w14:textId="01CC19AF" w:rsidR="008160ED" w:rsidRPr="001E255C" w:rsidRDefault="002323E2" w:rsidP="008B06D3">
            <w:pPr>
              <w:pStyle w:val="TableParagraph"/>
              <w:rPr>
                <w:b/>
              </w:rPr>
            </w:pPr>
            <w:r>
              <w:rPr>
                <w:b/>
              </w:rPr>
              <w:t>Tons</w:t>
            </w:r>
            <w:r w:rsidR="008160ED" w:rsidRPr="006D219C">
              <w:rPr>
                <w:b/>
              </w:rPr>
              <w:t xml:space="preserve"> </w:t>
            </w:r>
            <w:r w:rsidR="001E255C" w:rsidRPr="001E255C">
              <w:rPr>
                <w:b/>
              </w:rPr>
              <w:t>NO</w:t>
            </w:r>
            <w:r w:rsidR="001E255C" w:rsidRPr="001E255C">
              <w:rPr>
                <w:b/>
                <w:vertAlign w:val="subscript"/>
              </w:rPr>
              <w:t>X</w:t>
            </w:r>
            <w:r w:rsidR="008160ED" w:rsidRPr="001E255C">
              <w:rPr>
                <w:b/>
              </w:rPr>
              <w:t xml:space="preserve"> </w:t>
            </w:r>
          </w:p>
        </w:tc>
      </w:tr>
      <w:tr w:rsidR="008160ED" w:rsidRPr="000A3201" w14:paraId="589F5F5A" w14:textId="77777777" w:rsidTr="008B06D3">
        <w:trPr>
          <w:trHeight w:val="432"/>
        </w:trPr>
        <w:tc>
          <w:tcPr>
            <w:tcW w:w="3228" w:type="pct"/>
            <w:tcBorders>
              <w:top w:val="nil"/>
              <w:left w:val="single" w:sz="4" w:space="0" w:color="auto"/>
              <w:bottom w:val="single" w:sz="4" w:space="0" w:color="auto"/>
              <w:right w:val="single" w:sz="4" w:space="0" w:color="auto"/>
            </w:tcBorders>
            <w:shd w:val="clear" w:color="auto" w:fill="auto"/>
            <w:noWrap/>
            <w:vAlign w:val="center"/>
            <w:hideMark/>
          </w:tcPr>
          <w:p w14:paraId="5E484826" w14:textId="77777777" w:rsidR="008160ED" w:rsidRPr="00854163" w:rsidRDefault="008160ED" w:rsidP="008B06D3">
            <w:pPr>
              <w:pStyle w:val="TableParagraph"/>
            </w:pPr>
            <w:r w:rsidRPr="00854163">
              <w:t>Alcoa Intalco</w:t>
            </w:r>
          </w:p>
        </w:tc>
        <w:tc>
          <w:tcPr>
            <w:tcW w:w="584" w:type="pct"/>
            <w:tcBorders>
              <w:top w:val="nil"/>
              <w:left w:val="nil"/>
              <w:bottom w:val="single" w:sz="4" w:space="0" w:color="auto"/>
              <w:right w:val="single" w:sz="4" w:space="0" w:color="auto"/>
            </w:tcBorders>
            <w:shd w:val="clear" w:color="auto" w:fill="auto"/>
            <w:noWrap/>
            <w:vAlign w:val="center"/>
            <w:hideMark/>
          </w:tcPr>
          <w:p w14:paraId="1604B72B" w14:textId="30EFAC73" w:rsidR="008160ED" w:rsidRPr="00854163" w:rsidRDefault="008160ED" w:rsidP="008B06D3">
            <w:pPr>
              <w:pStyle w:val="TableParagraph"/>
            </w:pPr>
            <w:r w:rsidRPr="00854163">
              <w:t>637</w:t>
            </w:r>
          </w:p>
        </w:tc>
        <w:tc>
          <w:tcPr>
            <w:tcW w:w="560" w:type="pct"/>
            <w:tcBorders>
              <w:top w:val="nil"/>
              <w:left w:val="nil"/>
              <w:bottom w:val="single" w:sz="4" w:space="0" w:color="auto"/>
              <w:right w:val="single" w:sz="4" w:space="0" w:color="auto"/>
            </w:tcBorders>
            <w:shd w:val="clear" w:color="auto" w:fill="auto"/>
            <w:noWrap/>
            <w:vAlign w:val="center"/>
            <w:hideMark/>
          </w:tcPr>
          <w:p w14:paraId="4DF3AC89" w14:textId="70D02933" w:rsidR="008160ED" w:rsidRPr="00854163" w:rsidRDefault="009932BF" w:rsidP="008B06D3">
            <w:pPr>
              <w:pStyle w:val="TableParagraph"/>
            </w:pPr>
            <w:r>
              <w:t>4,794</w:t>
            </w:r>
          </w:p>
        </w:tc>
        <w:tc>
          <w:tcPr>
            <w:tcW w:w="628" w:type="pct"/>
            <w:tcBorders>
              <w:top w:val="nil"/>
              <w:left w:val="nil"/>
              <w:bottom w:val="single" w:sz="4" w:space="0" w:color="auto"/>
              <w:right w:val="single" w:sz="4" w:space="0" w:color="auto"/>
            </w:tcBorders>
            <w:shd w:val="clear" w:color="auto" w:fill="auto"/>
            <w:noWrap/>
            <w:vAlign w:val="center"/>
            <w:hideMark/>
          </w:tcPr>
          <w:p w14:paraId="182EDB4A" w14:textId="74137F7D" w:rsidR="008160ED" w:rsidRPr="00854163" w:rsidRDefault="009932BF" w:rsidP="008B06D3">
            <w:pPr>
              <w:pStyle w:val="TableParagraph"/>
            </w:pPr>
            <w:r>
              <w:t>227</w:t>
            </w:r>
          </w:p>
        </w:tc>
      </w:tr>
      <w:tr w:rsidR="008160ED" w:rsidRPr="000A3201" w14:paraId="15477175" w14:textId="77777777" w:rsidTr="008B06D3">
        <w:trPr>
          <w:trHeight w:val="432"/>
        </w:trPr>
        <w:tc>
          <w:tcPr>
            <w:tcW w:w="3228" w:type="pct"/>
            <w:tcBorders>
              <w:top w:val="nil"/>
              <w:left w:val="single" w:sz="4" w:space="0" w:color="auto"/>
              <w:bottom w:val="single" w:sz="4" w:space="0" w:color="auto"/>
              <w:right w:val="single" w:sz="4" w:space="0" w:color="auto"/>
            </w:tcBorders>
            <w:shd w:val="clear" w:color="auto" w:fill="auto"/>
            <w:noWrap/>
            <w:vAlign w:val="center"/>
            <w:hideMark/>
          </w:tcPr>
          <w:p w14:paraId="7519E5BF" w14:textId="77777777" w:rsidR="008160ED" w:rsidRPr="00854163" w:rsidRDefault="008160ED" w:rsidP="008B06D3">
            <w:pPr>
              <w:pStyle w:val="TableParagraph"/>
            </w:pPr>
            <w:r w:rsidRPr="00854163">
              <w:t>Alcoa Wenatchee</w:t>
            </w:r>
          </w:p>
        </w:tc>
        <w:tc>
          <w:tcPr>
            <w:tcW w:w="584" w:type="pct"/>
            <w:tcBorders>
              <w:top w:val="nil"/>
              <w:left w:val="nil"/>
              <w:bottom w:val="single" w:sz="4" w:space="0" w:color="auto"/>
              <w:right w:val="single" w:sz="4" w:space="0" w:color="auto"/>
            </w:tcBorders>
            <w:shd w:val="clear" w:color="auto" w:fill="auto"/>
            <w:noWrap/>
            <w:vAlign w:val="center"/>
            <w:hideMark/>
          </w:tcPr>
          <w:p w14:paraId="7D8FB95C" w14:textId="1988C5FC" w:rsidR="008160ED" w:rsidRPr="00854163" w:rsidRDefault="008160ED" w:rsidP="008B06D3">
            <w:pPr>
              <w:pStyle w:val="TableParagraph"/>
            </w:pPr>
            <w:r w:rsidRPr="00854163">
              <w:t>457</w:t>
            </w:r>
          </w:p>
        </w:tc>
        <w:tc>
          <w:tcPr>
            <w:tcW w:w="560" w:type="pct"/>
            <w:tcBorders>
              <w:top w:val="nil"/>
              <w:left w:val="nil"/>
              <w:bottom w:val="single" w:sz="4" w:space="0" w:color="auto"/>
              <w:right w:val="single" w:sz="4" w:space="0" w:color="auto"/>
            </w:tcBorders>
            <w:shd w:val="clear" w:color="auto" w:fill="auto"/>
            <w:noWrap/>
            <w:vAlign w:val="center"/>
            <w:hideMark/>
          </w:tcPr>
          <w:p w14:paraId="0DC6EAB2" w14:textId="7AC3E124" w:rsidR="008160ED" w:rsidRPr="00854163" w:rsidRDefault="008160ED" w:rsidP="008B06D3">
            <w:pPr>
              <w:pStyle w:val="TableParagraph"/>
            </w:pPr>
            <w:r w:rsidRPr="00854163">
              <w:t>2,935</w:t>
            </w:r>
          </w:p>
        </w:tc>
        <w:tc>
          <w:tcPr>
            <w:tcW w:w="628" w:type="pct"/>
            <w:tcBorders>
              <w:top w:val="nil"/>
              <w:left w:val="nil"/>
              <w:bottom w:val="single" w:sz="4" w:space="0" w:color="auto"/>
              <w:right w:val="single" w:sz="4" w:space="0" w:color="auto"/>
            </w:tcBorders>
            <w:shd w:val="clear" w:color="auto" w:fill="auto"/>
            <w:noWrap/>
            <w:vAlign w:val="center"/>
            <w:hideMark/>
          </w:tcPr>
          <w:p w14:paraId="23267446" w14:textId="4E2FBBC7" w:rsidR="008160ED" w:rsidRPr="00854163" w:rsidRDefault="009932BF" w:rsidP="008B06D3">
            <w:pPr>
              <w:pStyle w:val="TableParagraph"/>
            </w:pPr>
            <w:r>
              <w:t>70</w:t>
            </w:r>
          </w:p>
        </w:tc>
      </w:tr>
    </w:tbl>
    <w:p w14:paraId="34691760" w14:textId="77777777" w:rsidR="008160ED" w:rsidRPr="00854163" w:rsidRDefault="008160ED" w:rsidP="008B06D3">
      <w:pPr>
        <w:pStyle w:val="Heading5"/>
      </w:pPr>
      <w:bookmarkStart w:id="106" w:name="_Toc51673372"/>
      <w:bookmarkStart w:id="107" w:name="_Toc51674413"/>
      <w:r w:rsidRPr="00854163">
        <w:t>Alcoa Wenatchee Works</w:t>
      </w:r>
      <w:bookmarkEnd w:id="106"/>
      <w:bookmarkEnd w:id="107"/>
    </w:p>
    <w:p w14:paraId="3EB28189" w14:textId="4BD7688D" w:rsidR="008160ED" w:rsidRPr="00854163" w:rsidRDefault="008160ED" w:rsidP="008622A9">
      <w:pPr>
        <w:pStyle w:val="Paragraph"/>
        <w:rPr>
          <w:lang w:val="en"/>
        </w:rPr>
      </w:pPr>
      <w:r w:rsidRPr="00854163">
        <w:rPr>
          <w:lang w:val="en"/>
        </w:rPr>
        <w:t>The Wenatchee Works facility</w:t>
      </w:r>
      <w:r w:rsidR="00D45E83">
        <w:rPr>
          <w:lang w:val="en"/>
        </w:rPr>
        <w:t>,</w:t>
      </w:r>
      <w:r w:rsidRPr="00854163">
        <w:rPr>
          <w:lang w:val="en"/>
        </w:rPr>
        <w:t xml:space="preserve"> curtailed since 2014</w:t>
      </w:r>
      <w:r w:rsidR="00D45E83">
        <w:rPr>
          <w:lang w:val="en"/>
        </w:rPr>
        <w:t>,</w:t>
      </w:r>
      <w:r w:rsidR="00291BD4">
        <w:rPr>
          <w:lang w:val="en"/>
        </w:rPr>
        <w:t xml:space="preserve"> </w:t>
      </w:r>
      <w:r w:rsidRPr="00854163">
        <w:rPr>
          <w:lang w:val="en"/>
        </w:rPr>
        <w:t>has very low emissions.</w:t>
      </w:r>
      <w:r w:rsidR="0067717B">
        <w:rPr>
          <w:lang w:val="en"/>
        </w:rPr>
        <w:t xml:space="preserve"> </w:t>
      </w:r>
      <w:r w:rsidRPr="00854163">
        <w:rPr>
          <w:lang w:val="en"/>
        </w:rPr>
        <w:t xml:space="preserve">The facility is performing all requirements of their </w:t>
      </w:r>
      <w:r w:rsidR="00512123">
        <w:rPr>
          <w:lang w:val="en"/>
        </w:rPr>
        <w:t xml:space="preserve">air </w:t>
      </w:r>
      <w:r w:rsidRPr="00854163">
        <w:rPr>
          <w:lang w:val="en"/>
        </w:rPr>
        <w:t xml:space="preserve">permits and could restart </w:t>
      </w:r>
      <w:r w:rsidRPr="00854163">
        <w:rPr>
          <w:rFonts w:hint="eastAsia"/>
          <w:lang w:val="en"/>
        </w:rPr>
        <w:t>“</w:t>
      </w:r>
      <w:r w:rsidRPr="00854163">
        <w:rPr>
          <w:lang w:val="en"/>
        </w:rPr>
        <w:t>at any time</w:t>
      </w:r>
      <w:r w:rsidR="005F1588">
        <w:rPr>
          <w:lang w:val="en"/>
        </w:rPr>
        <w:t>”</w:t>
      </w:r>
      <w:r w:rsidRPr="00854163">
        <w:rPr>
          <w:lang w:val="en"/>
        </w:rPr>
        <w:t>.</w:t>
      </w:r>
      <w:r w:rsidR="0067717B">
        <w:rPr>
          <w:lang w:val="en"/>
        </w:rPr>
        <w:t xml:space="preserve"> </w:t>
      </w:r>
      <w:r w:rsidR="008F5EFB" w:rsidRPr="005F1588">
        <w:rPr>
          <w:lang w:val="en"/>
        </w:rPr>
        <w:t xml:space="preserve">Wenatchee </w:t>
      </w:r>
      <w:r w:rsidR="008F5EFB" w:rsidRPr="005F1588">
        <w:rPr>
          <w:lang w:val="en"/>
        </w:rPr>
        <w:lastRenderedPageBreak/>
        <w:t>Works would need time to expand their work force from the current curtailment level and additional physical activities would need to occur prior to returning to production</w:t>
      </w:r>
      <w:r w:rsidRPr="00854163">
        <w:rPr>
          <w:lang w:val="en"/>
        </w:rPr>
        <w:t>.</w:t>
      </w:r>
    </w:p>
    <w:p w14:paraId="61203F6E" w14:textId="719C93E5" w:rsidR="008160ED" w:rsidRPr="00854163" w:rsidRDefault="008160ED" w:rsidP="008622A9">
      <w:pPr>
        <w:pStyle w:val="Paragraph"/>
      </w:pPr>
      <w:r w:rsidRPr="00854163">
        <w:rPr>
          <w:lang w:val="en"/>
        </w:rPr>
        <w:t xml:space="preserve">The </w:t>
      </w:r>
      <w:r w:rsidR="007F2AAD" w:rsidRPr="00854163">
        <w:rPr>
          <w:lang w:val="en"/>
        </w:rPr>
        <w:t>four-factor</w:t>
      </w:r>
      <w:r w:rsidRPr="00854163">
        <w:rPr>
          <w:lang w:val="en"/>
        </w:rPr>
        <w:t xml:space="preserve"> analysis of Wenatchee Works </w:t>
      </w:r>
      <w:r w:rsidR="00512123">
        <w:rPr>
          <w:lang w:val="en"/>
        </w:rPr>
        <w:t>is complicated by the</w:t>
      </w:r>
      <w:r w:rsidR="00512123" w:rsidRPr="00854163">
        <w:rPr>
          <w:lang w:val="en"/>
        </w:rPr>
        <w:t xml:space="preserve"> </w:t>
      </w:r>
      <w:r w:rsidRPr="00854163">
        <w:rPr>
          <w:lang w:val="en"/>
        </w:rPr>
        <w:t xml:space="preserve">curtailment </w:t>
      </w:r>
      <w:r w:rsidR="00512123">
        <w:rPr>
          <w:lang w:val="en"/>
        </w:rPr>
        <w:t xml:space="preserve">status. </w:t>
      </w:r>
      <w:r w:rsidRPr="00854163">
        <w:rPr>
          <w:lang w:val="en"/>
        </w:rPr>
        <w:t>Annual emissions are very low while in curtailment.</w:t>
      </w:r>
      <w:r w:rsidR="0067717B">
        <w:rPr>
          <w:lang w:val="en"/>
        </w:rPr>
        <w:t xml:space="preserve"> </w:t>
      </w:r>
      <w:r w:rsidRPr="00854163">
        <w:t>In 2016-2018, annual emissions were less than 10 tpy for all pollutants.</w:t>
      </w:r>
      <w:r w:rsidR="0067717B">
        <w:t xml:space="preserve"> </w:t>
      </w:r>
      <w:r w:rsidRPr="00854163">
        <w:t>A facility in curtailment is also not generating revenue for its primary function (</w:t>
      </w:r>
      <w:r w:rsidR="007F2AAD" w:rsidRPr="00854163">
        <w:t>e.g.,</w:t>
      </w:r>
      <w:r w:rsidRPr="00854163">
        <w:t xml:space="preserve"> the facility is not selling any aluminum).</w:t>
      </w:r>
    </w:p>
    <w:p w14:paraId="2D2E56EC" w14:textId="4E92F259" w:rsidR="008160ED" w:rsidRDefault="008160ED" w:rsidP="00E85824">
      <w:pPr>
        <w:pStyle w:val="Heading6"/>
      </w:pPr>
      <w:bookmarkStart w:id="108" w:name="_Toc51673373"/>
      <w:r w:rsidRPr="00854163">
        <w:t>Four</w:t>
      </w:r>
      <w:r w:rsidR="00CA47D3">
        <w:t>-</w:t>
      </w:r>
      <w:r w:rsidR="00291BD4">
        <w:t>factor a</w:t>
      </w:r>
      <w:r w:rsidRPr="00854163">
        <w:t>nalysis</w:t>
      </w:r>
      <w:bookmarkEnd w:id="108"/>
    </w:p>
    <w:p w14:paraId="71DD8BA3" w14:textId="1DC58C38" w:rsidR="003066E2" w:rsidRPr="003066E2" w:rsidRDefault="003066E2" w:rsidP="00291BD4">
      <w:pPr>
        <w:pStyle w:val="Paragraph"/>
      </w:pPr>
      <w:r>
        <w:t>The primary RH causing emission from the facility when it is operating is SO</w:t>
      </w:r>
      <w:r w:rsidRPr="003066E2">
        <w:rPr>
          <w:vertAlign w:val="subscript"/>
        </w:rPr>
        <w:t>2</w:t>
      </w:r>
      <w:r>
        <w:t>. A wet scrubber and associated liquid handling structures is a prevalent emission control for SO</w:t>
      </w:r>
      <w:r w:rsidRPr="003066E2">
        <w:rPr>
          <w:vertAlign w:val="subscript"/>
        </w:rPr>
        <w:t>2</w:t>
      </w:r>
      <w:r>
        <w:t>. The following FFA details how installation of a wet scrubber system is not reasonable when the facility is in curtailment.</w:t>
      </w:r>
    </w:p>
    <w:p w14:paraId="65C96E27" w14:textId="4B7E961F" w:rsidR="008160ED" w:rsidRPr="00854163" w:rsidRDefault="008160ED" w:rsidP="00CA47D3">
      <w:pPr>
        <w:pStyle w:val="Heading7"/>
      </w:pPr>
      <w:bookmarkStart w:id="109" w:name="_Toc51673374"/>
      <w:r w:rsidRPr="00854163">
        <w:t>Cost of compliance</w:t>
      </w:r>
      <w:bookmarkEnd w:id="109"/>
      <w:r w:rsidRPr="00854163">
        <w:t xml:space="preserve"> </w:t>
      </w:r>
    </w:p>
    <w:p w14:paraId="7B93C6E0" w14:textId="2CE6DAF9" w:rsidR="008160ED" w:rsidRPr="00854163" w:rsidRDefault="008160ED" w:rsidP="00CA47D3">
      <w:pPr>
        <w:pStyle w:val="Paragraph"/>
      </w:pPr>
      <w:r w:rsidRPr="00854163">
        <w:t>The identification and analysis of emission reduction equipment based on actual emissions during curtailment will always result in a determination that the costs of compliance will be excess</w:t>
      </w:r>
      <w:r w:rsidR="00FF7888">
        <w:t>ive</w:t>
      </w:r>
      <w:r w:rsidRPr="00854163">
        <w:t xml:space="preserve"> for the facility. </w:t>
      </w:r>
      <w:r w:rsidR="001D31C2">
        <w:t xml:space="preserve">The </w:t>
      </w:r>
      <w:r w:rsidRPr="00854163">
        <w:t xml:space="preserve">facility </w:t>
      </w:r>
      <w:r w:rsidR="001D31C2">
        <w:t>reported 10 tons of total annual emissions</w:t>
      </w:r>
      <w:r w:rsidRPr="00854163">
        <w:t xml:space="preserve"> in </w:t>
      </w:r>
      <w:r w:rsidR="00E97E06">
        <w:t>2016</w:t>
      </w:r>
      <w:r w:rsidR="001D31C2">
        <w:t>. Assuming the facility could install control equipment for the entire 10 tons, the cost per ton of emissions reduced will exceed</w:t>
      </w:r>
      <w:r w:rsidRPr="00854163">
        <w:t xml:space="preserve"> $10,000 per ton of pollutants removed with only a $100,000 expenditure.</w:t>
      </w:r>
      <w:r w:rsidR="00E97E06">
        <w:t xml:space="preserve"> A </w:t>
      </w:r>
      <w:r w:rsidR="00512123">
        <w:t xml:space="preserve">cost of </w:t>
      </w:r>
      <w:r w:rsidR="00E97E06">
        <w:t>$10,000 per ton exceeds a reasonable cost for primary aluminum facilities at this time.</w:t>
      </w:r>
    </w:p>
    <w:p w14:paraId="6F41711D" w14:textId="5F8CF19A" w:rsidR="008160ED" w:rsidRPr="00854163" w:rsidRDefault="008160ED" w:rsidP="00CA47D3">
      <w:pPr>
        <w:pStyle w:val="Paragraph"/>
      </w:pPr>
      <w:r w:rsidRPr="00854163">
        <w:t xml:space="preserve">Facilities with large emissions of </w:t>
      </w:r>
      <w:r w:rsidR="00AF3E8D">
        <w:t>SO</w:t>
      </w:r>
      <w:r w:rsidR="00AF3E8D" w:rsidRPr="00AF3E8D">
        <w:rPr>
          <w:vertAlign w:val="subscript"/>
        </w:rPr>
        <w:t>2</w:t>
      </w:r>
      <w:r w:rsidRPr="00854163">
        <w:t xml:space="preserve">, in tons per year, typically utilize wet scrubbers </w:t>
      </w:r>
      <w:r w:rsidR="00FF7888">
        <w:t>for</w:t>
      </w:r>
      <w:r w:rsidRPr="00854163">
        <w:t xml:space="preserve"> emission control.</w:t>
      </w:r>
      <w:r w:rsidR="0067717B">
        <w:t xml:space="preserve"> </w:t>
      </w:r>
      <w:r w:rsidRPr="00854163">
        <w:t xml:space="preserve">Direct capital equipment costs for wet scrubbers are typically in the millions of dollars range and installing a wet scrubber would result in a non-reasonable expenditure of at least $100,000 per ton of </w:t>
      </w:r>
      <w:r w:rsidR="00AF3E8D">
        <w:t>SO</w:t>
      </w:r>
      <w:r w:rsidR="00AF3E8D" w:rsidRPr="00AF3E8D">
        <w:rPr>
          <w:vertAlign w:val="subscript"/>
        </w:rPr>
        <w:t>2</w:t>
      </w:r>
      <w:r w:rsidRPr="00854163">
        <w:t xml:space="preserve"> removed</w:t>
      </w:r>
      <w:r w:rsidR="004E1064">
        <w:t xml:space="preserve"> based on current emissions</w:t>
      </w:r>
      <w:r w:rsidRPr="00854163">
        <w:t>.</w:t>
      </w:r>
    </w:p>
    <w:p w14:paraId="3C9D5B8C" w14:textId="0CDFBEB2" w:rsidR="008160ED" w:rsidRPr="00854163" w:rsidRDefault="008160ED" w:rsidP="00CA47D3">
      <w:pPr>
        <w:pStyle w:val="Paragraph"/>
      </w:pPr>
      <w:r w:rsidRPr="00854163">
        <w:t xml:space="preserve">Because the facility has the potential to restart “at any time”, emissions could potentially return to </w:t>
      </w:r>
      <w:r w:rsidR="00512123">
        <w:t>pre-curtailment</w:t>
      </w:r>
      <w:r w:rsidRPr="00854163">
        <w:t xml:space="preserve"> levels.</w:t>
      </w:r>
      <w:r w:rsidR="0067717B">
        <w:t xml:space="preserve"> </w:t>
      </w:r>
      <w:r w:rsidRPr="00854163">
        <w:t xml:space="preserve">In this situation, an analysis of the facility could potentially result in reasonable emission control costs. Calculations of the cost of compliance would </w:t>
      </w:r>
      <w:r w:rsidR="00286F1E">
        <w:t>depend</w:t>
      </w:r>
      <w:r w:rsidRPr="00854163">
        <w:t xml:space="preserve"> on numerous variables</w:t>
      </w:r>
      <w:r w:rsidR="00512123">
        <w:t>,</w:t>
      </w:r>
      <w:r w:rsidRPr="00854163">
        <w:t xml:space="preserve"> from the number of pot lines brought back on line, amount of aluminum produced, regaining experienced operators for efficient operations, and other operational determinations.</w:t>
      </w:r>
    </w:p>
    <w:p w14:paraId="7BCDE6FE" w14:textId="316B50A6" w:rsidR="008160ED" w:rsidRPr="00854163" w:rsidRDefault="008160ED" w:rsidP="00CA47D3">
      <w:pPr>
        <w:pStyle w:val="Paragraph"/>
      </w:pPr>
      <w:r w:rsidRPr="00854163">
        <w:t xml:space="preserve">Numerous variables associated with a restart of the facility need to be determined before performing a cost analysis. At the time of facility restart, </w:t>
      </w:r>
      <w:r w:rsidR="00286F1E">
        <w:t xml:space="preserve">we would need to do </w:t>
      </w:r>
      <w:r w:rsidRPr="00854163">
        <w:t>an analysis</w:t>
      </w:r>
      <w:r w:rsidR="00E02730">
        <w:t xml:space="preserve"> </w:t>
      </w:r>
      <w:r w:rsidRPr="00854163">
        <w:t xml:space="preserve">to determine </w:t>
      </w:r>
      <w:r w:rsidR="00286F1E">
        <w:t>the reasonableness of</w:t>
      </w:r>
      <w:r w:rsidRPr="00854163">
        <w:t xml:space="preserve"> the cost of compliance.</w:t>
      </w:r>
    </w:p>
    <w:p w14:paraId="25239603" w14:textId="625234D7" w:rsidR="008160ED" w:rsidRPr="00854163" w:rsidRDefault="008160ED" w:rsidP="00CA47D3">
      <w:pPr>
        <w:pStyle w:val="Heading7"/>
      </w:pPr>
      <w:bookmarkStart w:id="110" w:name="_Toc51673375"/>
      <w:r w:rsidRPr="00854163">
        <w:t>Time necessary for compliance</w:t>
      </w:r>
      <w:bookmarkEnd w:id="110"/>
    </w:p>
    <w:p w14:paraId="613EAEC1" w14:textId="18911562" w:rsidR="008160ED" w:rsidRPr="00854163" w:rsidRDefault="008160ED" w:rsidP="00CA47D3">
      <w:pPr>
        <w:pStyle w:val="Paragraph"/>
      </w:pPr>
      <w:r w:rsidRPr="00854163">
        <w:t>With the facility in curtailment and no emission control equipment deemed reasonable, the facility is already complying with reasonable emission control.</w:t>
      </w:r>
      <w:r w:rsidR="0067717B">
        <w:t xml:space="preserve"> </w:t>
      </w:r>
      <w:r w:rsidRPr="00854163">
        <w:t xml:space="preserve">If the facility comes out of </w:t>
      </w:r>
      <w:r w:rsidRPr="00854163">
        <w:lastRenderedPageBreak/>
        <w:t xml:space="preserve">curtailment, </w:t>
      </w:r>
      <w:r w:rsidR="00286F1E">
        <w:t xml:space="preserve">we would need </w:t>
      </w:r>
      <w:r w:rsidRPr="00854163">
        <w:t xml:space="preserve">a new </w:t>
      </w:r>
      <w:r w:rsidR="00C530A1">
        <w:t>FFA</w:t>
      </w:r>
      <w:r w:rsidRPr="00854163">
        <w:t xml:space="preserve"> to determine time for compliance if </w:t>
      </w:r>
      <w:r w:rsidR="00286F1E">
        <w:t xml:space="preserve">we identify </w:t>
      </w:r>
      <w:r w:rsidRPr="00854163">
        <w:t>control equipment.</w:t>
      </w:r>
    </w:p>
    <w:p w14:paraId="3CC30EC3" w14:textId="06C217D1" w:rsidR="008160ED" w:rsidRPr="00854163" w:rsidRDefault="008160ED" w:rsidP="00CA47D3">
      <w:pPr>
        <w:pStyle w:val="Heading7"/>
      </w:pPr>
      <w:bookmarkStart w:id="111" w:name="_Toc51673376"/>
      <w:r w:rsidRPr="00854163">
        <w:t>Energy and non-air environmental impacts</w:t>
      </w:r>
      <w:bookmarkEnd w:id="111"/>
    </w:p>
    <w:p w14:paraId="221A10DB" w14:textId="1C9922BD" w:rsidR="008160ED" w:rsidRPr="00854163" w:rsidRDefault="008160ED" w:rsidP="00CA47D3">
      <w:pPr>
        <w:pStyle w:val="Paragraph"/>
      </w:pPr>
      <w:r w:rsidRPr="00854163">
        <w:t>With the facility in curtailment and no emission control equipment deemed reasonable, the facility would not have any new non-air environmental impacts.</w:t>
      </w:r>
      <w:r w:rsidR="0067717B">
        <w:t xml:space="preserve"> </w:t>
      </w:r>
      <w:r w:rsidRPr="00854163">
        <w:t>If the facility com</w:t>
      </w:r>
      <w:r w:rsidR="00A60B7E">
        <w:t>es</w:t>
      </w:r>
      <w:r w:rsidRPr="00854163">
        <w:t xml:space="preserve"> out of curtailment, </w:t>
      </w:r>
      <w:r w:rsidR="00A60B7E">
        <w:t xml:space="preserve">we would need </w:t>
      </w:r>
      <w:r w:rsidRPr="00854163">
        <w:t xml:space="preserve">a new </w:t>
      </w:r>
      <w:r w:rsidR="00A60B7E" w:rsidRPr="00854163">
        <w:t>four-factor</w:t>
      </w:r>
      <w:r w:rsidRPr="00854163">
        <w:t xml:space="preserve"> analysis to determine non-air environmental impacts if </w:t>
      </w:r>
      <w:r w:rsidR="00A60B7E">
        <w:t xml:space="preserve">we identify </w:t>
      </w:r>
      <w:r w:rsidRPr="00854163">
        <w:t>control equipment.</w:t>
      </w:r>
    </w:p>
    <w:p w14:paraId="5D055602" w14:textId="5F185C21" w:rsidR="008160ED" w:rsidRPr="00854163" w:rsidRDefault="008160ED" w:rsidP="00CA47D3">
      <w:pPr>
        <w:pStyle w:val="Heading7"/>
      </w:pPr>
      <w:bookmarkStart w:id="112" w:name="_Toc51673377"/>
      <w:r w:rsidRPr="00854163">
        <w:t>Remaining useful life</w:t>
      </w:r>
      <w:bookmarkEnd w:id="112"/>
    </w:p>
    <w:p w14:paraId="52FB372F" w14:textId="5E299046" w:rsidR="00A60B7E" w:rsidRDefault="008160ED" w:rsidP="00CA47D3">
      <w:pPr>
        <w:pStyle w:val="Paragraph"/>
      </w:pPr>
      <w:r w:rsidRPr="00854163">
        <w:t xml:space="preserve">The facility is currently in curtailment and not operating. The facility is performing maintenance on equipment to keep the facility in position to restart in the future. The facility has permanently closed a pot line within the last </w:t>
      </w:r>
      <w:r w:rsidR="00CA47D3">
        <w:t>five</w:t>
      </w:r>
      <w:r w:rsidRPr="00854163">
        <w:t xml:space="preserve"> years. </w:t>
      </w:r>
    </w:p>
    <w:p w14:paraId="30C16A43" w14:textId="0D1597D9" w:rsidR="008160ED" w:rsidRPr="00854163" w:rsidRDefault="00A60B7E" w:rsidP="00CA47D3">
      <w:pPr>
        <w:pStyle w:val="Paragraph"/>
      </w:pPr>
      <w:r>
        <w:t>We</w:t>
      </w:r>
      <w:r w:rsidR="008160ED" w:rsidRPr="00854163">
        <w:t xml:space="preserve"> assumed additional pot lines will permanently close in the future, but </w:t>
      </w:r>
      <w:r>
        <w:t xml:space="preserve">the facility currently has </w:t>
      </w:r>
      <w:r w:rsidR="008160ED" w:rsidRPr="00854163">
        <w:t>no pot lines scheduled to close.</w:t>
      </w:r>
    </w:p>
    <w:p w14:paraId="453456F4" w14:textId="77777777" w:rsidR="009E6F97" w:rsidRDefault="009E6F97" w:rsidP="009E6F97">
      <w:pPr>
        <w:pStyle w:val="Heading5"/>
      </w:pPr>
      <w:bookmarkStart w:id="113" w:name="_Toc51673378"/>
      <w:bookmarkStart w:id="114" w:name="_Toc51674414"/>
      <w:r>
        <w:t>Summary and preliminary recommendations</w:t>
      </w:r>
      <w:bookmarkEnd w:id="113"/>
      <w:bookmarkEnd w:id="114"/>
    </w:p>
    <w:p w14:paraId="7F01FF69" w14:textId="3C147E2B" w:rsidR="008160ED" w:rsidRPr="00854163" w:rsidRDefault="008160ED" w:rsidP="008622A9">
      <w:pPr>
        <w:pStyle w:val="Paragraph"/>
      </w:pPr>
      <w:r w:rsidRPr="00854163">
        <w:t xml:space="preserve">Wenatchee Works is currently in curtailment and it is not cost reasonable to have emission control devices added at this time. With the potential of the facility to restart “at any time”, gaining an agreement with the facility to perform a </w:t>
      </w:r>
      <w:r w:rsidR="00FF7888">
        <w:t>FFA</w:t>
      </w:r>
      <w:r w:rsidRPr="00854163">
        <w:t xml:space="preserve"> before the facility restarts is prudent.</w:t>
      </w:r>
      <w:r w:rsidR="0067717B">
        <w:t xml:space="preserve"> </w:t>
      </w:r>
      <w:r w:rsidRPr="00854163">
        <w:t>Ecology</w:t>
      </w:r>
      <w:r w:rsidR="003066E2">
        <w:t xml:space="preserve"> will be considering options for a legally enforceable agreement to require a FFA prior to facility restart.</w:t>
      </w:r>
      <w:r w:rsidR="0067717B">
        <w:t xml:space="preserve"> </w:t>
      </w:r>
      <w:r w:rsidRPr="00854163">
        <w:t xml:space="preserve">The </w:t>
      </w:r>
      <w:r w:rsidR="007B6998">
        <w:t>AO</w:t>
      </w:r>
      <w:r w:rsidRPr="00854163">
        <w:t xml:space="preserve"> will have the facility perform a </w:t>
      </w:r>
      <w:r w:rsidR="00F75D73">
        <w:t>FFA</w:t>
      </w:r>
      <w:r w:rsidRPr="00854163">
        <w:t xml:space="preserve"> before restarting and provide the analysis to Ecology.</w:t>
      </w:r>
      <w:r w:rsidR="0067717B">
        <w:t xml:space="preserve"> </w:t>
      </w:r>
      <w:r w:rsidRPr="00854163">
        <w:t>Ecology will then act on the analysis appropriately.</w:t>
      </w:r>
    </w:p>
    <w:p w14:paraId="0AB049D9" w14:textId="77777777" w:rsidR="008160ED" w:rsidRPr="00854163" w:rsidRDefault="008160ED" w:rsidP="008622A9">
      <w:pPr>
        <w:pStyle w:val="Paragraph"/>
      </w:pPr>
      <w:r w:rsidRPr="0032043E">
        <w:rPr>
          <w:highlight w:val="yellow"/>
        </w:rPr>
        <w:t>[NEED TO HAVE DETAILS ON AO PUT IN HERE.</w:t>
      </w:r>
    </w:p>
    <w:p w14:paraId="302A6822" w14:textId="77777777" w:rsidR="008160ED" w:rsidRPr="00854163" w:rsidRDefault="008160ED" w:rsidP="008B06D3">
      <w:pPr>
        <w:pStyle w:val="Heading5"/>
      </w:pPr>
      <w:bookmarkStart w:id="115" w:name="_Toc51673379"/>
      <w:bookmarkStart w:id="116" w:name="_Toc51674415"/>
      <w:r w:rsidRPr="00854163">
        <w:t>Alcoa Intalco</w:t>
      </w:r>
      <w:bookmarkEnd w:id="115"/>
      <w:bookmarkEnd w:id="116"/>
    </w:p>
    <w:p w14:paraId="65E9B624" w14:textId="2019B928" w:rsidR="008160ED" w:rsidRPr="00854163" w:rsidRDefault="008160ED" w:rsidP="008622A9">
      <w:pPr>
        <w:pStyle w:val="Paragraph"/>
        <w:rPr>
          <w:rFonts w:eastAsiaTheme="minorHAnsi"/>
          <w:szCs w:val="24"/>
        </w:rPr>
      </w:pPr>
      <w:r w:rsidRPr="00854163">
        <w:t>The Intalco facility near Ferndale is capable of making approximately 307,000 tons of aluminum metal each year.</w:t>
      </w:r>
      <w:r w:rsidR="0067717B">
        <w:t xml:space="preserve"> </w:t>
      </w:r>
      <w:r w:rsidRPr="00854163">
        <w:t xml:space="preserve">The facility is located in an area that had air monitor readings that were exceeding the </w:t>
      </w:r>
      <w:r w:rsidR="00BA7EB6" w:rsidRPr="00854163">
        <w:t>one-hour</w:t>
      </w:r>
      <w:r w:rsidRPr="00854163">
        <w:t xml:space="preserve"> </w:t>
      </w:r>
      <w:r w:rsidR="005449A0">
        <w:t>sulfur</w:t>
      </w:r>
      <w:r w:rsidR="005449A0" w:rsidRPr="00854163">
        <w:t xml:space="preserve"> </w:t>
      </w:r>
      <w:r w:rsidRPr="00854163">
        <w:t>dioxide (</w:t>
      </w:r>
      <w:r w:rsidR="00AF3E8D">
        <w:t>SO</w:t>
      </w:r>
      <w:r w:rsidR="00AF3E8D" w:rsidRPr="00AF3E8D">
        <w:rPr>
          <w:vertAlign w:val="subscript"/>
        </w:rPr>
        <w:t>2</w:t>
      </w:r>
      <w:r w:rsidRPr="00854163">
        <w:t>) National Ambient Air Quality Standards (NAAQS).</w:t>
      </w:r>
      <w:r w:rsidR="0067717B">
        <w:t xml:space="preserve"> </w:t>
      </w:r>
      <w:r w:rsidRPr="00854163">
        <w:t xml:space="preserve">Ecology and Intalco entered into </w:t>
      </w:r>
      <w:r w:rsidRPr="00854163">
        <w:rPr>
          <w:color w:val="343434"/>
          <w:lang w:val="en"/>
        </w:rPr>
        <w:t>Agreed O</w:t>
      </w:r>
      <w:r w:rsidR="00F75D73">
        <w:rPr>
          <w:color w:val="343434"/>
          <w:lang w:val="en"/>
        </w:rPr>
        <w:t>r</w:t>
      </w:r>
      <w:r w:rsidR="00984F6C">
        <w:rPr>
          <w:color w:val="343434"/>
          <w:lang w:val="en"/>
        </w:rPr>
        <w:t>der 16449</w:t>
      </w:r>
      <w:r w:rsidRPr="00854163">
        <w:rPr>
          <w:color w:val="343434"/>
          <w:lang w:val="en"/>
        </w:rPr>
        <w:t xml:space="preserve"> on</w:t>
      </w:r>
      <w:r w:rsidR="00503CD7">
        <w:rPr>
          <w:color w:val="343434"/>
          <w:lang w:val="en"/>
        </w:rPr>
        <w:t xml:space="preserve"> July 25, 2019</w:t>
      </w:r>
      <w:r w:rsidRPr="00854163">
        <w:rPr>
          <w:color w:val="343434"/>
          <w:lang w:val="en"/>
        </w:rPr>
        <w:t>.</w:t>
      </w:r>
      <w:r w:rsidR="0067717B">
        <w:rPr>
          <w:color w:val="343434"/>
          <w:lang w:val="en"/>
        </w:rPr>
        <w:t xml:space="preserve"> </w:t>
      </w:r>
      <w:r w:rsidRPr="00854163">
        <w:rPr>
          <w:color w:val="343434"/>
          <w:lang w:val="en"/>
        </w:rPr>
        <w:t xml:space="preserve">Intalco agreed in the AO to submit </w:t>
      </w:r>
      <w:r w:rsidRPr="00854163">
        <w:rPr>
          <w:rFonts w:eastAsiaTheme="minorHAnsi"/>
          <w:szCs w:val="24"/>
        </w:rPr>
        <w:t xml:space="preserve">a complete </w:t>
      </w:r>
      <w:r w:rsidR="00CA47D3">
        <w:rPr>
          <w:rFonts w:eastAsiaTheme="minorHAnsi"/>
          <w:szCs w:val="24"/>
        </w:rPr>
        <w:t>Notice of Construction (</w:t>
      </w:r>
      <w:r w:rsidRPr="00854163">
        <w:rPr>
          <w:rFonts w:eastAsiaTheme="minorHAnsi"/>
          <w:szCs w:val="24"/>
        </w:rPr>
        <w:t>NOC</w:t>
      </w:r>
      <w:r w:rsidR="00CA47D3">
        <w:rPr>
          <w:rFonts w:eastAsiaTheme="minorHAnsi"/>
          <w:szCs w:val="24"/>
        </w:rPr>
        <w:t>)</w:t>
      </w:r>
      <w:r w:rsidRPr="00854163">
        <w:rPr>
          <w:rFonts w:eastAsiaTheme="minorHAnsi"/>
          <w:szCs w:val="24"/>
        </w:rPr>
        <w:t xml:space="preserve"> application for the installation of a wet scrubber design and engineering report by October 31, 2020.</w:t>
      </w:r>
    </w:p>
    <w:p w14:paraId="05829441" w14:textId="005C26BB" w:rsidR="008160ED" w:rsidRPr="00854163" w:rsidRDefault="00BA7EB6" w:rsidP="008622A9">
      <w:pPr>
        <w:pStyle w:val="Paragraph"/>
        <w:rPr>
          <w:rFonts w:eastAsiaTheme="minorHAnsi"/>
          <w:szCs w:val="24"/>
        </w:rPr>
      </w:pPr>
      <w:r>
        <w:rPr>
          <w:rFonts w:eastAsiaTheme="minorHAnsi"/>
          <w:szCs w:val="24"/>
        </w:rPr>
        <w:t>We anticipated using</w:t>
      </w:r>
      <w:r w:rsidR="008160ED" w:rsidRPr="00854163">
        <w:rPr>
          <w:rFonts w:eastAsiaTheme="minorHAnsi"/>
          <w:szCs w:val="24"/>
        </w:rPr>
        <w:t xml:space="preserve"> the AO as a basis </w:t>
      </w:r>
      <w:r w:rsidR="008F5EFB">
        <w:rPr>
          <w:rFonts w:eastAsiaTheme="minorHAnsi"/>
          <w:szCs w:val="24"/>
        </w:rPr>
        <w:t xml:space="preserve">of preparing </w:t>
      </w:r>
      <w:r w:rsidR="008160ED" w:rsidRPr="00854163">
        <w:rPr>
          <w:rFonts w:eastAsiaTheme="minorHAnsi"/>
          <w:szCs w:val="24"/>
        </w:rPr>
        <w:t xml:space="preserve">the </w:t>
      </w:r>
      <w:r w:rsidR="00503CD7">
        <w:rPr>
          <w:rFonts w:eastAsiaTheme="minorHAnsi"/>
          <w:szCs w:val="24"/>
        </w:rPr>
        <w:t>FFA</w:t>
      </w:r>
      <w:r w:rsidR="008160ED" w:rsidRPr="00854163">
        <w:rPr>
          <w:rFonts w:eastAsiaTheme="minorHAnsi"/>
          <w:szCs w:val="24"/>
        </w:rPr>
        <w:t xml:space="preserve">. Ecology did not request the facility to perform a </w:t>
      </w:r>
      <w:r w:rsidR="00503CD7">
        <w:rPr>
          <w:rFonts w:eastAsiaTheme="minorHAnsi"/>
          <w:szCs w:val="24"/>
        </w:rPr>
        <w:t>FFA</w:t>
      </w:r>
      <w:r w:rsidR="008160ED" w:rsidRPr="00854163">
        <w:rPr>
          <w:rFonts w:eastAsiaTheme="minorHAnsi"/>
          <w:szCs w:val="24"/>
        </w:rPr>
        <w:t xml:space="preserve"> as the AO obviated the need to perform one. On April 22, 2020, the Intalco facility announced that it was curtailing production.</w:t>
      </w:r>
      <w:r w:rsidR="0067717B">
        <w:rPr>
          <w:rFonts w:eastAsiaTheme="minorHAnsi"/>
          <w:szCs w:val="24"/>
        </w:rPr>
        <w:t xml:space="preserve"> </w:t>
      </w:r>
      <w:r w:rsidR="008160ED" w:rsidRPr="00854163">
        <w:rPr>
          <w:rFonts w:eastAsiaTheme="minorHAnsi"/>
          <w:szCs w:val="24"/>
        </w:rPr>
        <w:t xml:space="preserve">The AO contains a clause that “[n]otwithstanding anything else in this Order, in the event that Intalco announces the closure or curtailment of one of its three potlines (A, B, or C line, or any combination or equivalent </w:t>
      </w:r>
      <w:r w:rsidR="008160ED" w:rsidRPr="00854163">
        <w:rPr>
          <w:rFonts w:eastAsiaTheme="minorHAnsi"/>
          <w:szCs w:val="24"/>
        </w:rPr>
        <w:lastRenderedPageBreak/>
        <w:t>measure thereof), then upon thirty days’ prior written notice to Ecology, this Order and Intalco’s obligations hereunder will become null and void.”</w:t>
      </w:r>
      <w:r w:rsidR="0067717B">
        <w:rPr>
          <w:rFonts w:eastAsiaTheme="minorHAnsi"/>
          <w:szCs w:val="24"/>
        </w:rPr>
        <w:t xml:space="preserve"> </w:t>
      </w:r>
    </w:p>
    <w:p w14:paraId="729A4537" w14:textId="0B3C2022" w:rsidR="00377A7B" w:rsidRDefault="00377A7B" w:rsidP="008622A9">
      <w:pPr>
        <w:pStyle w:val="Paragraph"/>
        <w:rPr>
          <w:rFonts w:eastAsiaTheme="minorHAnsi"/>
          <w:szCs w:val="24"/>
        </w:rPr>
      </w:pPr>
      <w:r>
        <w:rPr>
          <w:rFonts w:eastAsiaTheme="minorHAnsi"/>
          <w:szCs w:val="24"/>
        </w:rPr>
        <w:t>With the</w:t>
      </w:r>
      <w:r w:rsidR="004F3A23">
        <w:rPr>
          <w:rFonts w:eastAsiaTheme="minorHAnsi"/>
          <w:szCs w:val="24"/>
        </w:rPr>
        <w:t xml:space="preserve"> curtailment and subsequent voiding of the AO</w:t>
      </w:r>
      <w:r>
        <w:rPr>
          <w:rFonts w:eastAsiaTheme="minorHAnsi"/>
          <w:szCs w:val="24"/>
        </w:rPr>
        <w:t xml:space="preserve"> Ecology cannot count potential emissions reductions from the previously agreed upon wet scrubber</w:t>
      </w:r>
      <w:r w:rsidR="004F3A23">
        <w:rPr>
          <w:rFonts w:eastAsiaTheme="minorHAnsi"/>
          <w:szCs w:val="24"/>
        </w:rPr>
        <w:t>.</w:t>
      </w:r>
      <w:r w:rsidR="008160ED" w:rsidRPr="00854163">
        <w:rPr>
          <w:rFonts w:eastAsiaTheme="minorHAnsi"/>
          <w:szCs w:val="24"/>
        </w:rPr>
        <w:t xml:space="preserve"> </w:t>
      </w:r>
    </w:p>
    <w:p w14:paraId="6EC199C6" w14:textId="53BF728C" w:rsidR="008160ED" w:rsidRPr="00854163" w:rsidRDefault="008160ED" w:rsidP="008622A9">
      <w:pPr>
        <w:pStyle w:val="Paragraph"/>
        <w:rPr>
          <w:rFonts w:eastAsiaTheme="minorHAnsi"/>
          <w:szCs w:val="24"/>
        </w:rPr>
      </w:pPr>
      <w:r w:rsidRPr="00854163">
        <w:rPr>
          <w:rFonts w:eastAsiaTheme="minorHAnsi"/>
          <w:szCs w:val="24"/>
        </w:rPr>
        <w:t>The Intalco facility and the separately described Wenatchee Works facility are now both curtailed primary aluminum facilities.</w:t>
      </w:r>
    </w:p>
    <w:p w14:paraId="58055EA2" w14:textId="58DDCCDB" w:rsidR="008160ED" w:rsidRPr="00854163" w:rsidRDefault="008160ED" w:rsidP="008622A9">
      <w:pPr>
        <w:pStyle w:val="Paragraph"/>
        <w:rPr>
          <w:color w:val="343434"/>
          <w:lang w:val="en"/>
        </w:rPr>
      </w:pPr>
      <w:r w:rsidRPr="00854163">
        <w:rPr>
          <w:color w:val="343434"/>
          <w:lang w:val="en"/>
        </w:rPr>
        <w:t>The Intalco facility will curtail in 2020 and will have very low emissions.</w:t>
      </w:r>
      <w:r w:rsidR="0067717B">
        <w:rPr>
          <w:color w:val="343434"/>
          <w:lang w:val="en"/>
        </w:rPr>
        <w:t xml:space="preserve"> </w:t>
      </w:r>
      <w:r w:rsidRPr="00854163">
        <w:rPr>
          <w:color w:val="343434"/>
          <w:lang w:val="en"/>
        </w:rPr>
        <w:t xml:space="preserve">The facility is planning </w:t>
      </w:r>
      <w:r w:rsidR="004F3A23" w:rsidRPr="00854163">
        <w:rPr>
          <w:color w:val="343434"/>
          <w:lang w:val="en"/>
        </w:rPr>
        <w:t>to perform</w:t>
      </w:r>
      <w:r w:rsidRPr="00854163">
        <w:rPr>
          <w:color w:val="343434"/>
          <w:lang w:val="en"/>
        </w:rPr>
        <w:t xml:space="preserve"> all requirement of their permits and could restart </w:t>
      </w:r>
      <w:r w:rsidRPr="00854163">
        <w:rPr>
          <w:rFonts w:hint="eastAsia"/>
          <w:color w:val="343434"/>
          <w:lang w:val="en"/>
        </w:rPr>
        <w:t>“</w:t>
      </w:r>
      <w:r w:rsidRPr="00854163">
        <w:rPr>
          <w:color w:val="343434"/>
          <w:lang w:val="en"/>
        </w:rPr>
        <w:t>at any time</w:t>
      </w:r>
      <w:r w:rsidRPr="00854163">
        <w:rPr>
          <w:rFonts w:hint="eastAsia"/>
          <w:color w:val="343434"/>
          <w:lang w:val="en"/>
        </w:rPr>
        <w:t>’</w:t>
      </w:r>
      <w:r w:rsidRPr="00854163">
        <w:rPr>
          <w:color w:val="343434"/>
          <w:lang w:val="en"/>
        </w:rPr>
        <w:t>.</w:t>
      </w:r>
      <w:r w:rsidR="0067717B">
        <w:rPr>
          <w:color w:val="343434"/>
          <w:lang w:val="en"/>
        </w:rPr>
        <w:t xml:space="preserve"> </w:t>
      </w:r>
      <w:r w:rsidR="00DD08BB">
        <w:t>Intalco would need time to expand their work force from the current curtailment level and additional physical activities would need to occur pr</w:t>
      </w:r>
      <w:r w:rsidR="00A63336">
        <w:t>ior to returning to production.</w:t>
      </w:r>
    </w:p>
    <w:p w14:paraId="610C6256" w14:textId="5171D323" w:rsidR="008160ED" w:rsidRPr="00854163" w:rsidRDefault="008160ED" w:rsidP="008622A9">
      <w:pPr>
        <w:pStyle w:val="Paragraph"/>
      </w:pPr>
      <w:r w:rsidRPr="00854163">
        <w:rPr>
          <w:color w:val="343434"/>
          <w:lang w:val="en"/>
        </w:rPr>
        <w:t xml:space="preserve">The </w:t>
      </w:r>
      <w:r w:rsidR="00503CD7">
        <w:rPr>
          <w:color w:val="343434"/>
          <w:lang w:val="en"/>
        </w:rPr>
        <w:t>FFA</w:t>
      </w:r>
      <w:r w:rsidRPr="00854163">
        <w:rPr>
          <w:color w:val="343434"/>
          <w:lang w:val="en"/>
        </w:rPr>
        <w:t xml:space="preserve"> of Intalco during curtailment is more complicated than on an operating facility. Annual emissions are very low while in curtailment and should be comparable to the Wenatchee Work primary aluminum facility that is already in curtailment.</w:t>
      </w:r>
      <w:r w:rsidR="0067717B">
        <w:rPr>
          <w:color w:val="343434"/>
          <w:lang w:val="en"/>
        </w:rPr>
        <w:t xml:space="preserve"> </w:t>
      </w:r>
      <w:r w:rsidRPr="00854163">
        <w:rPr>
          <w:color w:val="343434"/>
          <w:lang w:val="en"/>
        </w:rPr>
        <w:t>The Wenatchee Works facility had annual emissions in</w:t>
      </w:r>
      <w:r w:rsidRPr="00854163">
        <w:t xml:space="preserve"> 2016-2018 that were less than 10 tpy total for all pollutants. The Intalco facility entering curtailment will not generate any revenue for its primary function (</w:t>
      </w:r>
      <w:r w:rsidR="002E5ECE">
        <w:t>that is,</w:t>
      </w:r>
      <w:r w:rsidRPr="00854163">
        <w:t xml:space="preserve"> the facility is not selling any aluminum).</w:t>
      </w:r>
    </w:p>
    <w:p w14:paraId="33257641" w14:textId="12FA3008" w:rsidR="008160ED" w:rsidRDefault="008160ED" w:rsidP="00E85824">
      <w:pPr>
        <w:pStyle w:val="Heading6"/>
      </w:pPr>
      <w:bookmarkStart w:id="117" w:name="_Toc51673380"/>
      <w:r w:rsidRPr="00854163">
        <w:t>Four</w:t>
      </w:r>
      <w:r w:rsidR="00CA47D3">
        <w:t>-</w:t>
      </w:r>
      <w:r w:rsidR="00291BD4">
        <w:t>f</w:t>
      </w:r>
      <w:r w:rsidRPr="00854163">
        <w:t xml:space="preserve">actor </w:t>
      </w:r>
      <w:r w:rsidR="00291BD4">
        <w:t>a</w:t>
      </w:r>
      <w:r w:rsidRPr="00854163">
        <w:t>nalysis</w:t>
      </w:r>
      <w:bookmarkEnd w:id="117"/>
    </w:p>
    <w:p w14:paraId="5A5535D8" w14:textId="77777777" w:rsidR="003066E2" w:rsidRPr="003066E2" w:rsidRDefault="003066E2" w:rsidP="00291BD4">
      <w:pPr>
        <w:pStyle w:val="Paragraph"/>
      </w:pPr>
      <w:r>
        <w:t>The primary RH causing emission from the facility when it is operating is SO</w:t>
      </w:r>
      <w:r w:rsidRPr="003066E2">
        <w:rPr>
          <w:vertAlign w:val="subscript"/>
        </w:rPr>
        <w:t>2</w:t>
      </w:r>
      <w:r>
        <w:t>. A wet scrubber and associated liquid handling structures is a prevalent emission control for SO</w:t>
      </w:r>
      <w:r w:rsidRPr="003066E2">
        <w:rPr>
          <w:vertAlign w:val="subscript"/>
        </w:rPr>
        <w:t>2</w:t>
      </w:r>
      <w:r>
        <w:t>. The following FFA details how installation of a wet scrubber system is not reasonable when the facility is in curtailment.</w:t>
      </w:r>
    </w:p>
    <w:p w14:paraId="64377B7C" w14:textId="5955261F" w:rsidR="00CA47D3" w:rsidRDefault="00CA47D3" w:rsidP="00CA47D3">
      <w:pPr>
        <w:pStyle w:val="Heading7"/>
      </w:pPr>
      <w:bookmarkStart w:id="118" w:name="_Toc51673381"/>
      <w:r w:rsidRPr="00CA47D3">
        <w:t>Cost</w:t>
      </w:r>
      <w:r>
        <w:t xml:space="preserve"> of compliance</w:t>
      </w:r>
      <w:bookmarkEnd w:id="118"/>
    </w:p>
    <w:p w14:paraId="5E896E18" w14:textId="74010595" w:rsidR="00B316AF" w:rsidRPr="00854163" w:rsidRDefault="00B316AF" w:rsidP="00CA47D3">
      <w:pPr>
        <w:pStyle w:val="Paragraph"/>
      </w:pPr>
      <w:r w:rsidRPr="00854163">
        <w:t>The identification and analysis of emission reduction equipment based on actual emissions during curtailment will always result in a determination that the costs of compliance will be excess</w:t>
      </w:r>
      <w:r>
        <w:t>ive</w:t>
      </w:r>
      <w:r w:rsidRPr="00854163">
        <w:t xml:space="preserve"> for the facility. </w:t>
      </w:r>
      <w:r>
        <w:t xml:space="preserve">If Intalco curtailed emissions are similar to the Wenatchee Works facilities’ reported 10 tons of total annual emissions in the 2016 EI, then Intalco will also have around 10 tons of annual emissions. Assuming the facility could install control equipment for the entire 10 tons, the cost per ton of emissions reduced will exceed </w:t>
      </w:r>
      <w:r w:rsidRPr="00854163">
        <w:t>$10,000 per ton of pollutants removed with only a $100,000 expenditure.</w:t>
      </w:r>
      <w:r w:rsidR="00D61EB9">
        <w:t xml:space="preserve"> </w:t>
      </w:r>
      <w:r>
        <w:t xml:space="preserve">A </w:t>
      </w:r>
      <w:r w:rsidR="002E5ECE">
        <w:t xml:space="preserve">cost of </w:t>
      </w:r>
      <w:r>
        <w:t>$10,000 per ton exceeds a reasonable cost for primary aluminum facilities at this time.</w:t>
      </w:r>
    </w:p>
    <w:p w14:paraId="2041AB5D" w14:textId="448BCFF6" w:rsidR="008160ED" w:rsidRPr="00854163" w:rsidRDefault="008160ED" w:rsidP="00CA47D3">
      <w:pPr>
        <w:pStyle w:val="Paragraph"/>
      </w:pPr>
      <w:r w:rsidRPr="00854163">
        <w:t xml:space="preserve">Facilities with large emissions of </w:t>
      </w:r>
      <w:r w:rsidR="00AF3E8D">
        <w:t>SO</w:t>
      </w:r>
      <w:r w:rsidR="00AF3E8D" w:rsidRPr="00AF3E8D">
        <w:rPr>
          <w:vertAlign w:val="subscript"/>
        </w:rPr>
        <w:t>2</w:t>
      </w:r>
      <w:r w:rsidRPr="00854163">
        <w:t xml:space="preserve">, in </w:t>
      </w:r>
      <w:r w:rsidR="00D61EB9">
        <w:t>tons per year, typically use</w:t>
      </w:r>
      <w:r w:rsidRPr="00854163">
        <w:t xml:space="preserve"> wet scrubbers as emission controls.</w:t>
      </w:r>
      <w:r w:rsidR="0067717B">
        <w:t xml:space="preserve"> </w:t>
      </w:r>
      <w:r w:rsidRPr="00854163">
        <w:t>Direct capital equipment costs for wet scrubbers are typically in the millions of dollars range and then installing a wet scrubber would result in a</w:t>
      </w:r>
      <w:r w:rsidR="005F1588">
        <w:t>nun</w:t>
      </w:r>
      <w:r w:rsidRPr="00854163">
        <w:t xml:space="preserve">reasonable expenditure of at least $100,000 per ton of </w:t>
      </w:r>
      <w:r w:rsidR="00AF3E8D">
        <w:t>SO</w:t>
      </w:r>
      <w:r w:rsidR="00AF3E8D" w:rsidRPr="00AF3E8D">
        <w:rPr>
          <w:vertAlign w:val="subscript"/>
        </w:rPr>
        <w:t>2</w:t>
      </w:r>
      <w:r w:rsidRPr="00854163">
        <w:t xml:space="preserve"> removed</w:t>
      </w:r>
      <w:r w:rsidR="000B7B8F">
        <w:t xml:space="preserve"> based on current emissions</w:t>
      </w:r>
      <w:r w:rsidRPr="00854163">
        <w:t>.</w:t>
      </w:r>
    </w:p>
    <w:p w14:paraId="1257D359" w14:textId="3EFD6CE8" w:rsidR="008160ED" w:rsidRPr="00854163" w:rsidRDefault="008160ED" w:rsidP="00CA47D3">
      <w:pPr>
        <w:pStyle w:val="Paragraph"/>
      </w:pPr>
      <w:r w:rsidRPr="00854163">
        <w:lastRenderedPageBreak/>
        <w:t>Because the facility has the poten</w:t>
      </w:r>
      <w:r w:rsidR="000301E8">
        <w:t xml:space="preserve">tial to restart “at any time”, </w:t>
      </w:r>
      <w:r w:rsidRPr="00854163">
        <w:t xml:space="preserve">emissions could potentially return to 2014 </w:t>
      </w:r>
      <w:r w:rsidR="008413B5">
        <w:t>EI</w:t>
      </w:r>
      <w:r w:rsidRPr="00854163">
        <w:t xml:space="preserve"> levels.</w:t>
      </w:r>
      <w:r w:rsidR="0067717B">
        <w:t xml:space="preserve"> </w:t>
      </w:r>
      <w:r w:rsidRPr="00854163">
        <w:t xml:space="preserve">In this situation, an analysis of the facility could potentially result in reasonable emission control costs. Calculations of the cost of compliance would </w:t>
      </w:r>
      <w:r w:rsidR="00A56EF0">
        <w:t>depend</w:t>
      </w:r>
      <w:r w:rsidRPr="00854163">
        <w:t xml:space="preserve"> on numerous variables from the number of pot lines brought back on line, amount of aluminum produced, regaining experienced operators for efficient operations, and other operational determinations.</w:t>
      </w:r>
    </w:p>
    <w:p w14:paraId="4E53B886" w14:textId="08D3BF00" w:rsidR="008160ED" w:rsidRPr="00854163" w:rsidRDefault="008160ED" w:rsidP="00CA47D3">
      <w:pPr>
        <w:pStyle w:val="Paragraph"/>
      </w:pPr>
      <w:r w:rsidRPr="00854163">
        <w:t xml:space="preserve">Numerous variables associated with a restart of the facility need to be determined before performing a cost analysis. At the time of facility restart, </w:t>
      </w:r>
      <w:r w:rsidR="00A56EF0">
        <w:t xml:space="preserve">we would need to do </w:t>
      </w:r>
      <w:r w:rsidRPr="00854163">
        <w:t>an analysis</w:t>
      </w:r>
      <w:r w:rsidR="00E02730">
        <w:t xml:space="preserve"> </w:t>
      </w:r>
      <w:r w:rsidRPr="00854163">
        <w:t xml:space="preserve">to </w:t>
      </w:r>
      <w:r w:rsidR="00634CC2" w:rsidRPr="00854163">
        <w:t>determine</w:t>
      </w:r>
      <w:r w:rsidR="00634CC2">
        <w:t xml:space="preserve"> the</w:t>
      </w:r>
      <w:r w:rsidR="00A56EF0">
        <w:t xml:space="preserve"> reasonableness</w:t>
      </w:r>
      <w:r w:rsidRPr="00854163">
        <w:t xml:space="preserve"> </w:t>
      </w:r>
      <w:r w:rsidR="00F86656">
        <w:t>o</w:t>
      </w:r>
      <w:r w:rsidRPr="00854163">
        <w:t>f the cost of</w:t>
      </w:r>
      <w:r w:rsidR="000301E8">
        <w:t xml:space="preserve"> compliance</w:t>
      </w:r>
      <w:r w:rsidRPr="00854163">
        <w:t>.</w:t>
      </w:r>
    </w:p>
    <w:p w14:paraId="7CDAD98C" w14:textId="0CFC26BF" w:rsidR="008160ED" w:rsidRPr="00854163" w:rsidRDefault="008160ED" w:rsidP="00CA47D3">
      <w:pPr>
        <w:pStyle w:val="Heading7"/>
      </w:pPr>
      <w:bookmarkStart w:id="119" w:name="_Toc51673382"/>
      <w:r w:rsidRPr="00854163">
        <w:t>Time necessary for compliance</w:t>
      </w:r>
      <w:bookmarkEnd w:id="119"/>
    </w:p>
    <w:p w14:paraId="72D8CD23" w14:textId="39D68418" w:rsidR="008160ED" w:rsidRPr="00854163" w:rsidRDefault="008160ED" w:rsidP="00CA47D3">
      <w:pPr>
        <w:pStyle w:val="Paragraph"/>
      </w:pPr>
      <w:r w:rsidRPr="00854163">
        <w:t>With the facility in curtailment and no emission control equipment deemed as reasonable, the facility is already complying with reasonable emission control.</w:t>
      </w:r>
      <w:r w:rsidR="0067717B">
        <w:t xml:space="preserve"> </w:t>
      </w:r>
      <w:r w:rsidRPr="00854163">
        <w:t xml:space="preserve">If the facility comes out of curtailment, </w:t>
      </w:r>
      <w:r w:rsidR="00634CC2">
        <w:t xml:space="preserve">we would need </w:t>
      </w:r>
      <w:r w:rsidRPr="00854163">
        <w:t xml:space="preserve">a new </w:t>
      </w:r>
      <w:r w:rsidR="00EA1959">
        <w:t>FFA</w:t>
      </w:r>
      <w:r w:rsidR="00E02730">
        <w:t xml:space="preserve"> </w:t>
      </w:r>
      <w:r w:rsidRPr="00854163">
        <w:t xml:space="preserve">to determine time for compliance if </w:t>
      </w:r>
      <w:r w:rsidR="00634CC2">
        <w:t xml:space="preserve">we identify </w:t>
      </w:r>
      <w:r w:rsidRPr="00854163">
        <w:t>control equipment.</w:t>
      </w:r>
    </w:p>
    <w:p w14:paraId="0242AC88" w14:textId="406717DF" w:rsidR="008160ED" w:rsidRPr="00854163" w:rsidRDefault="008160ED" w:rsidP="00CA47D3">
      <w:pPr>
        <w:pStyle w:val="Heading7"/>
      </w:pPr>
      <w:bookmarkStart w:id="120" w:name="_Toc51673383"/>
      <w:r w:rsidRPr="00854163">
        <w:t>Energy and non-air environmental impacts</w:t>
      </w:r>
      <w:bookmarkEnd w:id="120"/>
    </w:p>
    <w:p w14:paraId="52E197C6" w14:textId="0086D758" w:rsidR="008160ED" w:rsidRPr="00854163" w:rsidRDefault="008160ED" w:rsidP="00CA47D3">
      <w:pPr>
        <w:pStyle w:val="Paragraph"/>
      </w:pPr>
      <w:r w:rsidRPr="00854163">
        <w:t>With the facility in curtailment and no emission control equipment deemed as reasonable, the facility would not have any new non-air environmental impacts.</w:t>
      </w:r>
      <w:r w:rsidR="0067717B">
        <w:t xml:space="preserve"> </w:t>
      </w:r>
      <w:r w:rsidRPr="00854163">
        <w:t xml:space="preserve">If the facility comes out of curtailment, a new </w:t>
      </w:r>
      <w:r w:rsidR="00EA1959">
        <w:t>FFA</w:t>
      </w:r>
      <w:r w:rsidRPr="00854163">
        <w:t xml:space="preserve"> would be needed to determine non-air environmental impacts if control equipment is identified.</w:t>
      </w:r>
    </w:p>
    <w:p w14:paraId="338873E1" w14:textId="4E0B9F7A" w:rsidR="008160ED" w:rsidRPr="00854163" w:rsidRDefault="008160ED" w:rsidP="00CA47D3">
      <w:pPr>
        <w:pStyle w:val="Heading7"/>
      </w:pPr>
      <w:bookmarkStart w:id="121" w:name="_Toc51673384"/>
      <w:r w:rsidRPr="00854163">
        <w:t>Remaining useful life</w:t>
      </w:r>
      <w:bookmarkEnd w:id="121"/>
    </w:p>
    <w:p w14:paraId="14D24D44" w14:textId="1C297015" w:rsidR="008160ED" w:rsidRPr="00854163" w:rsidRDefault="008160ED" w:rsidP="00CA47D3">
      <w:pPr>
        <w:pStyle w:val="Paragraph"/>
      </w:pPr>
      <w:r w:rsidRPr="00854163">
        <w:t xml:space="preserve">The facility is currently in curtailment and not operating. The facility is performing maintenance on equipment to keep the facility in position to restart in the future. The facility has permanently closed a pot line within the last 5 years. </w:t>
      </w:r>
      <w:r w:rsidR="00634CC2">
        <w:t>We assume the facility will permanently close</w:t>
      </w:r>
      <w:r w:rsidRPr="00854163">
        <w:t xml:space="preserve"> additional pot lines</w:t>
      </w:r>
      <w:r w:rsidR="00E02730">
        <w:t xml:space="preserve"> </w:t>
      </w:r>
      <w:r w:rsidRPr="00854163">
        <w:t xml:space="preserve">in the future, but </w:t>
      </w:r>
      <w:r w:rsidR="00634CC2">
        <w:t>the facility has not currently scheduled any</w:t>
      </w:r>
      <w:r w:rsidRPr="00854163">
        <w:t xml:space="preserve"> pot lines to close.</w:t>
      </w:r>
      <w:r w:rsidR="00A63336">
        <w:t xml:space="preserve"> </w:t>
      </w:r>
      <w:r w:rsidR="002A0679">
        <w:t>Because</w:t>
      </w:r>
      <w:r w:rsidR="00A63336">
        <w:t xml:space="preserve"> of the uncertain</w:t>
      </w:r>
      <w:r w:rsidR="00EA1959">
        <w:t>ti</w:t>
      </w:r>
      <w:r w:rsidR="00A63336">
        <w:t xml:space="preserve">es above, </w:t>
      </w:r>
      <w:r w:rsidR="00634CC2">
        <w:t xml:space="preserve">we cannot determine </w:t>
      </w:r>
      <w:r w:rsidR="00A63336">
        <w:t>the remaining useful life of the facility at this time.</w:t>
      </w:r>
    </w:p>
    <w:p w14:paraId="2CAA3D59" w14:textId="77777777" w:rsidR="009E6F97" w:rsidRDefault="009E6F97" w:rsidP="009E6F97">
      <w:pPr>
        <w:pStyle w:val="Heading5"/>
      </w:pPr>
      <w:bookmarkStart w:id="122" w:name="_Toc51673385"/>
      <w:bookmarkStart w:id="123" w:name="_Toc51674416"/>
      <w:r>
        <w:t>Summary and preliminary recommendations</w:t>
      </w:r>
      <w:bookmarkEnd w:id="122"/>
      <w:bookmarkEnd w:id="123"/>
    </w:p>
    <w:p w14:paraId="6944E796" w14:textId="7220B27C" w:rsidR="008160ED" w:rsidRPr="00854163" w:rsidRDefault="008160ED" w:rsidP="008622A9">
      <w:pPr>
        <w:pStyle w:val="Paragraph"/>
      </w:pPr>
      <w:r w:rsidRPr="00854163">
        <w:t>Intalco is currently in curtailment and it is not cost reasonable to have emission control devices added at this time. With the potential of the facility to restart “at any time”, gaining an agreement with the facility to perform a four factor analysis before the facility restarts is prudent.</w:t>
      </w:r>
      <w:r w:rsidR="0067717B">
        <w:t xml:space="preserve"> </w:t>
      </w:r>
      <w:r w:rsidRPr="00854163">
        <w:t xml:space="preserve">Ecology plans to </w:t>
      </w:r>
      <w:r w:rsidR="00EA1959">
        <w:t>negotiate</w:t>
      </w:r>
      <w:r w:rsidR="002E5ECE">
        <w:t xml:space="preserve"> </w:t>
      </w:r>
      <w:r w:rsidRPr="00854163">
        <w:t>a legal</w:t>
      </w:r>
      <w:r w:rsidR="00115FD3">
        <w:t>ly</w:t>
      </w:r>
      <w:r w:rsidRPr="00854163">
        <w:t xml:space="preserve"> enforceable </w:t>
      </w:r>
      <w:r w:rsidR="007B6998">
        <w:t>AO</w:t>
      </w:r>
      <w:r w:rsidRPr="00854163">
        <w:t xml:space="preserve"> with the facility.</w:t>
      </w:r>
      <w:r w:rsidR="0067717B">
        <w:t xml:space="preserve"> </w:t>
      </w:r>
      <w:r w:rsidRPr="00854163">
        <w:t xml:space="preserve">The </w:t>
      </w:r>
      <w:r w:rsidR="007B6998">
        <w:t>AO</w:t>
      </w:r>
      <w:r w:rsidRPr="00854163">
        <w:t xml:space="preserve"> will have the facility perform a </w:t>
      </w:r>
      <w:r w:rsidR="001E63D3">
        <w:t>FFA</w:t>
      </w:r>
      <w:r w:rsidRPr="00854163">
        <w:t xml:space="preserve"> before restarting and provide the analysis to Ecology.</w:t>
      </w:r>
      <w:r w:rsidR="0067717B">
        <w:t xml:space="preserve"> </w:t>
      </w:r>
      <w:r w:rsidRPr="00854163">
        <w:t>Ecology will then act on the analysis appropriately.</w:t>
      </w:r>
    </w:p>
    <w:p w14:paraId="137547E0" w14:textId="5E1C72D5" w:rsidR="008160ED" w:rsidRDefault="008160ED" w:rsidP="008622A9">
      <w:pPr>
        <w:pStyle w:val="Paragraph"/>
      </w:pPr>
      <w:r w:rsidRPr="0085684F">
        <w:rPr>
          <w:highlight w:val="yellow"/>
        </w:rPr>
        <w:t>[NEED TO HAVE DETAILS ON AO PUT IN HERE.</w:t>
      </w:r>
    </w:p>
    <w:p w14:paraId="45229961" w14:textId="4E07EA80" w:rsidR="00EC45CF" w:rsidRPr="00EC45CF" w:rsidRDefault="00EC45CF" w:rsidP="0032043E">
      <w:pPr>
        <w:pStyle w:val="Heading3"/>
        <w:rPr>
          <w:shd w:val="clear" w:color="auto" w:fill="FFFFFF"/>
        </w:rPr>
      </w:pPr>
      <w:bookmarkStart w:id="124" w:name="_Toc529545669"/>
      <w:bookmarkStart w:id="125" w:name="_Toc51673386"/>
      <w:bookmarkStart w:id="126" w:name="_Toc51674417"/>
      <w:r w:rsidRPr="00EC45CF">
        <w:rPr>
          <w:shd w:val="clear" w:color="auto" w:fill="FFFFFF"/>
        </w:rPr>
        <w:lastRenderedPageBreak/>
        <w:t xml:space="preserve">Chemical Pulp &amp; Paper Mill </w:t>
      </w:r>
      <w:r w:rsidR="00D502B4">
        <w:rPr>
          <w:shd w:val="clear" w:color="auto" w:fill="FFFFFF"/>
        </w:rPr>
        <w:t>FFA</w:t>
      </w:r>
      <w:r w:rsidRPr="00EC45CF">
        <w:rPr>
          <w:shd w:val="clear" w:color="auto" w:fill="FFFFFF"/>
        </w:rPr>
        <w:t xml:space="preserve"> </w:t>
      </w:r>
      <w:r w:rsidR="001E63D3">
        <w:rPr>
          <w:shd w:val="clear" w:color="auto" w:fill="FFFFFF"/>
        </w:rPr>
        <w:t>r</w:t>
      </w:r>
      <w:r w:rsidRPr="00EC45CF">
        <w:rPr>
          <w:shd w:val="clear" w:color="auto" w:fill="FFFFFF"/>
        </w:rPr>
        <w:t>ecommendations</w:t>
      </w:r>
      <w:bookmarkEnd w:id="124"/>
      <w:bookmarkEnd w:id="125"/>
      <w:bookmarkEnd w:id="126"/>
    </w:p>
    <w:p w14:paraId="00A2B41F" w14:textId="08CB19EF" w:rsidR="00EC45CF" w:rsidRPr="00EC45CF" w:rsidRDefault="00EC45CF" w:rsidP="00EC45CF">
      <w:pPr>
        <w:pStyle w:val="Paragraph"/>
      </w:pPr>
      <w:bookmarkStart w:id="127" w:name="_Toc502661709"/>
      <w:bookmarkStart w:id="128" w:name="_Toc502661759"/>
      <w:r w:rsidRPr="00EC45CF">
        <w:t xml:space="preserve">This </w:t>
      </w:r>
      <w:r w:rsidR="002E5ECE">
        <w:t>section</w:t>
      </w:r>
      <w:r w:rsidR="002E5ECE" w:rsidRPr="00EC45CF">
        <w:t xml:space="preserve"> </w:t>
      </w:r>
      <w:r w:rsidR="00163E31">
        <w:t>considers</w:t>
      </w:r>
      <w:r w:rsidR="00163E31" w:rsidRPr="00EC45CF">
        <w:t xml:space="preserve"> </w:t>
      </w:r>
      <w:r w:rsidR="00163E31">
        <w:t xml:space="preserve">and evaluates </w:t>
      </w:r>
      <w:r w:rsidR="0028558A">
        <w:t>six</w:t>
      </w:r>
      <w:r w:rsidRPr="00EC45CF">
        <w:t xml:space="preserve"> options </w:t>
      </w:r>
      <w:r w:rsidR="0028558A">
        <w:t>with only four</w:t>
      </w:r>
      <w:r w:rsidR="0028558A" w:rsidRPr="00EC45CF">
        <w:rPr>
          <w:vertAlign w:val="superscript"/>
        </w:rPr>
        <w:footnoteReference w:id="3"/>
      </w:r>
      <w:r w:rsidR="0028558A">
        <w:t xml:space="preserve"> of the options considered by</w:t>
      </w:r>
      <w:r w:rsidRPr="00EC45CF">
        <w:t xml:space="preserve"> </w:t>
      </w:r>
      <w:r w:rsidR="002A0679">
        <w:t>Ecology</w:t>
      </w:r>
      <w:r w:rsidRPr="00EC45CF">
        <w:t xml:space="preserve"> for addressing </w:t>
      </w:r>
      <w:r w:rsidR="00C67AFF">
        <w:t>RH</w:t>
      </w:r>
      <w:r w:rsidRPr="00EC45CF">
        <w:t xml:space="preserve"> in the chemical pulp &amp; paper mill industrial sector. Th</w:t>
      </w:r>
      <w:r w:rsidR="001E63D3">
        <w:t>ey</w:t>
      </w:r>
      <w:r w:rsidRPr="00EC45CF">
        <w:t xml:space="preserve"> include both sulfate (kraft) and sulfite chemical processing facilities. Cosmo Specialty Fiber is currently the only sulfite mill in Washington. All other facilities listed are kraft mills. </w:t>
      </w:r>
    </w:p>
    <w:p w14:paraId="7CE4B0F8" w14:textId="523D5E04" w:rsidR="00EC45CF" w:rsidRPr="00EC45CF" w:rsidRDefault="00EC45CF" w:rsidP="0032043E">
      <w:pPr>
        <w:pStyle w:val="Heading4"/>
        <w:rPr>
          <w:shd w:val="clear" w:color="auto" w:fill="FFFFFF"/>
        </w:rPr>
      </w:pPr>
      <w:bookmarkStart w:id="129" w:name="_Toc51673387"/>
      <w:bookmarkStart w:id="130" w:name="_Toc51674418"/>
      <w:r w:rsidRPr="00EC45CF">
        <w:rPr>
          <w:shd w:val="clear" w:color="auto" w:fill="FFFFFF"/>
        </w:rPr>
        <w:t>Initial review</w:t>
      </w:r>
      <w:bookmarkEnd w:id="129"/>
      <w:bookmarkEnd w:id="130"/>
    </w:p>
    <w:p w14:paraId="6C6624A3" w14:textId="0F9F9066" w:rsidR="00EC45CF" w:rsidRPr="00EC45CF" w:rsidRDefault="00EC45CF" w:rsidP="00EC45CF">
      <w:pPr>
        <w:pStyle w:val="Paragraph"/>
      </w:pPr>
      <w:r w:rsidRPr="00EC45CF">
        <w:t>On September 1</w:t>
      </w:r>
      <w:r w:rsidR="00132D39">
        <w:t xml:space="preserve">0, 2019, Ecology requested </w:t>
      </w:r>
      <w:r w:rsidR="00F5296D">
        <w:t>an FFA</w:t>
      </w:r>
      <w:r w:rsidRPr="00EC45CF">
        <w:t xml:space="preserve"> from the seven chemical pulp mills in Washington State.</w:t>
      </w:r>
      <w:r w:rsidR="00132D39">
        <w:t xml:space="preserve"> Ecology received a combined </w:t>
      </w:r>
      <w:r w:rsidR="00F5296D">
        <w:t xml:space="preserve">FFA </w:t>
      </w:r>
      <w:r w:rsidRPr="00EC45CF">
        <w:t>report from the si</w:t>
      </w:r>
      <w:r w:rsidR="00132D39">
        <w:t xml:space="preserve">x kraft mills and a separate </w:t>
      </w:r>
      <w:r w:rsidR="00F5296D">
        <w:t>FFA</w:t>
      </w:r>
      <w:r w:rsidRPr="00EC45CF">
        <w:t xml:space="preserve"> from the sulfite mill (Cosmo) on December 5, 201</w:t>
      </w:r>
      <w:r w:rsidR="00132D39">
        <w:t>9. After review</w:t>
      </w:r>
      <w:r w:rsidRPr="00EC45CF">
        <w:t>, on January 13 2020, Ecology requested that six of the seven mills provide follow-up information to Ecology by February 28, 2020.</w:t>
      </w:r>
    </w:p>
    <w:p w14:paraId="2598610D" w14:textId="0B399DFF" w:rsidR="00EC45CF" w:rsidRPr="00EC45CF" w:rsidRDefault="00EC45CF" w:rsidP="00EC45CF">
      <w:pPr>
        <w:pStyle w:val="Paragraph"/>
        <w:numPr>
          <w:ilvl w:val="0"/>
          <w:numId w:val="34"/>
        </w:numPr>
      </w:pPr>
      <w:r w:rsidRPr="00EC45CF">
        <w:t xml:space="preserve">Ecology did not request additional information from GP Camas because they are no longer operating as a chemical pulp mill. </w:t>
      </w:r>
      <w:r w:rsidR="0071749B">
        <w:t>In addition, steps were underway to provide</w:t>
      </w:r>
      <w:r w:rsidRPr="00EC45CF">
        <w:t xml:space="preserve"> enforceable conditions </w:t>
      </w:r>
      <w:r w:rsidR="0071749B">
        <w:t>that would</w:t>
      </w:r>
      <w:r w:rsidR="0071749B" w:rsidRPr="00EC45CF">
        <w:t xml:space="preserve"> </w:t>
      </w:r>
      <w:r w:rsidRPr="00EC45CF">
        <w:t>prevent GP Camas from operating as a chemical pulp mill under their current permit. If GP Camas pursues operation as a chemical pulp mill in the future, they will need to go through new source review.</w:t>
      </w:r>
    </w:p>
    <w:p w14:paraId="61CFEF7C" w14:textId="57CAC73B" w:rsidR="00EC45CF" w:rsidRPr="00EC45CF" w:rsidRDefault="00EC45CF" w:rsidP="00EC45CF">
      <w:pPr>
        <w:pStyle w:val="Paragraph"/>
        <w:numPr>
          <w:ilvl w:val="0"/>
          <w:numId w:val="34"/>
        </w:numPr>
      </w:pPr>
      <w:r w:rsidRPr="00EC45CF">
        <w:t xml:space="preserve">On February 20, </w:t>
      </w:r>
      <w:r w:rsidR="004F1E0E" w:rsidRPr="00EC45CF">
        <w:t>2020,</w:t>
      </w:r>
      <w:r w:rsidRPr="00EC45CF">
        <w:t xml:space="preserve"> Cosmo requested a time extension due to i</w:t>
      </w:r>
      <w:r w:rsidR="004F1E0E">
        <w:t>mpacts of</w:t>
      </w:r>
      <w:r w:rsidRPr="00EC45CF">
        <w:t xml:space="preserve"> the coronavirus in China. Ecology agreed to a time extension to April 30, 2020. </w:t>
      </w:r>
    </w:p>
    <w:p w14:paraId="43F36CFC" w14:textId="0A7D6893" w:rsidR="00EC45CF" w:rsidRPr="00EC45CF" w:rsidRDefault="00EC45CF" w:rsidP="00EC45CF">
      <w:pPr>
        <w:pStyle w:val="Paragraph"/>
      </w:pPr>
      <w:r w:rsidRPr="00EC45CF">
        <w:t xml:space="preserve">Ecology received follow-up information from each of the mills within the timeframes agreed to above. All the submittals from the pulp mills are in Appendix A. A snapshot summary of the mill submittal values for </w:t>
      </w:r>
      <w:r w:rsidR="001E255C">
        <w:t>NO</w:t>
      </w:r>
      <w:r w:rsidR="001E255C" w:rsidRPr="001E255C">
        <w:rPr>
          <w:vertAlign w:val="subscript"/>
        </w:rPr>
        <w:t>X</w:t>
      </w:r>
      <w:r w:rsidRPr="00EC45CF">
        <w:t xml:space="preserve">, </w:t>
      </w:r>
      <w:r w:rsidR="00AF3E8D">
        <w:t>SO</w:t>
      </w:r>
      <w:r w:rsidR="00AF3E8D" w:rsidRPr="00AF3E8D">
        <w:rPr>
          <w:vertAlign w:val="subscript"/>
        </w:rPr>
        <w:t>2</w:t>
      </w:r>
      <w:r w:rsidRPr="00EC45CF">
        <w:t>, and PM control costs after evaluation and adjustment by Ecology is in Appendix B.</w:t>
      </w:r>
    </w:p>
    <w:p w14:paraId="26605451" w14:textId="77777777" w:rsidR="00EC45CF" w:rsidRPr="00EC45CF" w:rsidRDefault="00EC45CF" w:rsidP="0032043E">
      <w:pPr>
        <w:pStyle w:val="Heading4"/>
        <w:rPr>
          <w:shd w:val="clear" w:color="auto" w:fill="FFFFFF"/>
        </w:rPr>
      </w:pPr>
      <w:bookmarkStart w:id="131" w:name="_Toc51673388"/>
      <w:bookmarkStart w:id="132" w:name="_Toc51674419"/>
      <w:r w:rsidRPr="00EC45CF">
        <w:rPr>
          <w:shd w:val="clear" w:color="auto" w:fill="FFFFFF"/>
        </w:rPr>
        <w:t>RACT and BACT concepts</w:t>
      </w:r>
      <w:bookmarkEnd w:id="131"/>
      <w:bookmarkEnd w:id="132"/>
    </w:p>
    <w:p w14:paraId="588F6816" w14:textId="3B7C88CA" w:rsidR="00EC45CF" w:rsidRPr="00EC45CF" w:rsidRDefault="00EC45CF" w:rsidP="00EC45CF">
      <w:pPr>
        <w:pStyle w:val="Paragraph"/>
      </w:pPr>
      <w:r w:rsidRPr="00EC45CF">
        <w:t xml:space="preserve">In 2016, Ecology published a Reasonably Available Control Technology (2016 RACT Analysis) analysis for the chemical pulp mills in Washington State. Using the recent </w:t>
      </w:r>
      <w:r w:rsidR="00F5296D">
        <w:t xml:space="preserve">FFA </w:t>
      </w:r>
      <w:r w:rsidRPr="00EC45CF">
        <w:t>information from the mills, Ecology considered updating portions of the 2016 RACT Analysis for the current timeframe (2019/2020). As explained in the 2016 RACT Analysis, RACT is different from Best Available Control Technology (BACT). However, as a starting point for initial review, Ecology considered the principles of BACT in order to inform a potential RACT update for the mills.</w:t>
      </w:r>
    </w:p>
    <w:p w14:paraId="5A414400" w14:textId="77777777" w:rsidR="00EC45CF" w:rsidRPr="00EC45CF" w:rsidRDefault="00EC45CF" w:rsidP="0032043E">
      <w:pPr>
        <w:pStyle w:val="Heading5"/>
        <w:rPr>
          <w:shd w:val="clear" w:color="auto" w:fill="FFFFFF"/>
        </w:rPr>
      </w:pPr>
      <w:bookmarkStart w:id="133" w:name="_Toc51673389"/>
      <w:bookmarkStart w:id="134" w:name="_Toc51674420"/>
      <w:r w:rsidRPr="00EC45CF">
        <w:rPr>
          <w:shd w:val="clear" w:color="auto" w:fill="FFFFFF"/>
        </w:rPr>
        <w:lastRenderedPageBreak/>
        <w:t>Principles of cost considerations from a BACT-level approach and other incurred costs</w:t>
      </w:r>
      <w:bookmarkEnd w:id="133"/>
      <w:bookmarkEnd w:id="134"/>
    </w:p>
    <w:p w14:paraId="14DA9DCD" w14:textId="25A402A3" w:rsidR="00EC45CF" w:rsidRPr="00EC45CF" w:rsidRDefault="00EC45CF" w:rsidP="00EC45CF">
      <w:pPr>
        <w:pStyle w:val="Paragraph"/>
      </w:pPr>
      <w:r w:rsidRPr="00EC45CF">
        <w:t xml:space="preserve">The following cost information is based on a BACT-level approach of cost per ton of pollutant removed, according to the BACT cost guidelines as described in the October 1990 EPA Draft New Source Review Workshop Manual (or </w:t>
      </w:r>
      <w:r w:rsidRPr="00EC45CF">
        <w:rPr>
          <w:u w:val="single"/>
        </w:rPr>
        <w:t>Puzzlebook</w:t>
      </w:r>
      <w:r w:rsidRPr="00EC45CF">
        <w:t>).</w:t>
      </w:r>
      <w:r w:rsidR="00074337">
        <w:t xml:space="preserve"> </w:t>
      </w:r>
      <w:r w:rsidRPr="00EC45CF">
        <w:t xml:space="preserve">As explained in section </w:t>
      </w:r>
      <w:r w:rsidRPr="00EC45CF">
        <w:rPr>
          <w:bCs/>
        </w:rPr>
        <w:t xml:space="preserve">IV.D.2.c. of the </w:t>
      </w:r>
      <w:r w:rsidRPr="00EC45CF">
        <w:t>Puzzlebook titled: “</w:t>
      </w:r>
      <w:r w:rsidRPr="00EC45CF">
        <w:rPr>
          <w:bCs/>
        </w:rPr>
        <w:t xml:space="preserve">Determining an Adverse Economic Impact,” </w:t>
      </w:r>
      <w:r w:rsidRPr="00EC45CF">
        <w:t xml:space="preserve">when determining what values are cost effective, the engineer should consider the: </w:t>
      </w:r>
      <w:r w:rsidRPr="00EC45CF">
        <w:rPr>
          <w:i/>
        </w:rPr>
        <w:t xml:space="preserve">“cost previously borne by other sources of the same type.” </w:t>
      </w:r>
      <w:r w:rsidRPr="00EC45CF">
        <w:t>And, “</w:t>
      </w:r>
      <w:r w:rsidRPr="00EC45CF">
        <w:rPr>
          <w:i/>
        </w:rPr>
        <w:t>the range normally incurred by other sources in that category</w:t>
      </w:r>
      <w:r w:rsidRPr="00EC45CF">
        <w:t>.”</w:t>
      </w:r>
    </w:p>
    <w:p w14:paraId="5724C065" w14:textId="219CD32B" w:rsidR="00EC45CF" w:rsidRPr="00EC45CF" w:rsidRDefault="00EC45CF" w:rsidP="00EC45CF">
      <w:pPr>
        <w:pStyle w:val="Paragraph"/>
      </w:pPr>
      <w:r w:rsidRPr="00EC45CF">
        <w:t xml:space="preserve">Therefore, the </w:t>
      </w:r>
      <w:r w:rsidR="00737498">
        <w:t xml:space="preserve">regulatory agency’s experience with </w:t>
      </w:r>
      <w:r w:rsidR="00737498" w:rsidRPr="00EC45CF">
        <w:t>permitting and costs</w:t>
      </w:r>
      <w:r w:rsidR="00737498" w:rsidRPr="00EC45CF">
        <w:rPr>
          <w:vertAlign w:val="superscript"/>
        </w:rPr>
        <w:footnoteReference w:id="4"/>
      </w:r>
      <w:r w:rsidR="00737498" w:rsidRPr="00EC45CF">
        <w:t xml:space="preserve"> incurred by other similar sources </w:t>
      </w:r>
      <w:r w:rsidR="00737498">
        <w:t xml:space="preserve">informs the </w:t>
      </w:r>
      <w:r w:rsidRPr="00EC45CF">
        <w:t xml:space="preserve">BACT cost-effective decision. The costs that one source category or industry has incurred (for an SCR for example), may be different </w:t>
      </w:r>
      <w:r w:rsidR="00737498" w:rsidRPr="00EC45CF">
        <w:t>from</w:t>
      </w:r>
      <w:r w:rsidRPr="00EC45CF">
        <w:t xml:space="preserve"> the costs another source category or industry has incurred. </w:t>
      </w:r>
    </w:p>
    <w:p w14:paraId="37F5B3FD" w14:textId="77777777" w:rsidR="00EC45CF" w:rsidRPr="00EC45CF" w:rsidRDefault="00EC45CF" w:rsidP="00EC45CF">
      <w:pPr>
        <w:pStyle w:val="Paragraph"/>
      </w:pPr>
      <w:r w:rsidRPr="00EC45CF">
        <w:t xml:space="preserve">Ecology compared the cost per ton values of current combustion units with BACT and other cost values of recently purchased controls at the pulp mills. </w:t>
      </w:r>
    </w:p>
    <w:p w14:paraId="6806CDD2" w14:textId="77777777" w:rsidR="00EC45CF" w:rsidRPr="00EC45CF" w:rsidRDefault="00EC45CF" w:rsidP="00EC45CF">
      <w:pPr>
        <w:pStyle w:val="Paragraph"/>
      </w:pPr>
      <w:r w:rsidRPr="00EC45CF">
        <w:t>Where BACT costs are not available, Ecology used other costs incurred such as for MACT</w:t>
      </w:r>
      <w:r w:rsidRPr="00EC45CF">
        <w:rPr>
          <w:vertAlign w:val="superscript"/>
        </w:rPr>
        <w:footnoteReference w:id="5"/>
      </w:r>
      <w:r w:rsidRPr="00EC45CF">
        <w:t xml:space="preserve"> compliance. </w:t>
      </w:r>
    </w:p>
    <w:p w14:paraId="6812D41E" w14:textId="77777777" w:rsidR="00EC45CF" w:rsidRPr="00EC45CF" w:rsidRDefault="00EC45CF" w:rsidP="00EC45CF">
      <w:pPr>
        <w:pStyle w:val="Paragraph"/>
      </w:pPr>
      <w:r w:rsidRPr="00EC45CF">
        <w:t>Ecology learned from the pulp mills of the following recent costs incurred</w:t>
      </w:r>
      <w:r w:rsidRPr="00EC45CF">
        <w:rPr>
          <w:b/>
          <w:vertAlign w:val="superscript"/>
        </w:rPr>
        <w:footnoteReference w:id="6"/>
      </w:r>
      <w:r w:rsidRPr="00EC45CF">
        <w:t>:</w:t>
      </w:r>
    </w:p>
    <w:p w14:paraId="35607324" w14:textId="72DC5216" w:rsidR="00EC45CF" w:rsidRPr="00EC45CF" w:rsidRDefault="00EC45CF" w:rsidP="00280BCE">
      <w:pPr>
        <w:pStyle w:val="BulletedList"/>
        <w:rPr>
          <w:shd w:val="clear" w:color="auto" w:fill="FFFFFF"/>
        </w:rPr>
      </w:pPr>
      <w:r w:rsidRPr="00EC45CF">
        <w:rPr>
          <w:shd w:val="clear" w:color="auto" w:fill="FFFFFF"/>
        </w:rPr>
        <w:t xml:space="preserve">A 2018 </w:t>
      </w:r>
      <w:r w:rsidR="0019053A">
        <w:rPr>
          <w:shd w:val="clear" w:color="auto" w:fill="FFFFFF"/>
        </w:rPr>
        <w:t>low-NOx</w:t>
      </w:r>
      <w:r w:rsidRPr="00EC45CF">
        <w:rPr>
          <w:shd w:val="clear" w:color="auto" w:fill="FFFFFF"/>
        </w:rPr>
        <w:t xml:space="preserve"> burner installed at WestRock Tacoma boiler #6 at </w:t>
      </w:r>
      <w:r w:rsidRPr="00EC45CF">
        <w:rPr>
          <w:b/>
          <w:shd w:val="clear" w:color="auto" w:fill="FFFFFF"/>
        </w:rPr>
        <w:t>$6,302/ton</w:t>
      </w:r>
      <w:r w:rsidRPr="00EC45CF">
        <w:rPr>
          <w:shd w:val="clear" w:color="auto" w:fill="FFFFFF"/>
        </w:rPr>
        <w:t xml:space="preserve">, </w:t>
      </w:r>
    </w:p>
    <w:p w14:paraId="502E09AA" w14:textId="7094EE56" w:rsidR="00EC45CF" w:rsidRPr="00EC45CF" w:rsidRDefault="00EC45CF" w:rsidP="00280BCE">
      <w:pPr>
        <w:pStyle w:val="BulletedList"/>
        <w:rPr>
          <w:shd w:val="clear" w:color="auto" w:fill="FFFFFF"/>
        </w:rPr>
      </w:pPr>
      <w:r w:rsidRPr="00EC45CF">
        <w:rPr>
          <w:shd w:val="clear" w:color="auto" w:fill="FFFFFF"/>
        </w:rPr>
        <w:t xml:space="preserve">A 2012 SNCR </w:t>
      </w:r>
      <w:r w:rsidR="001E255C">
        <w:t>NO</w:t>
      </w:r>
      <w:r w:rsidR="001E255C" w:rsidRPr="001E255C">
        <w:rPr>
          <w:vertAlign w:val="subscript"/>
        </w:rPr>
        <w:t>X</w:t>
      </w:r>
      <w:r w:rsidRPr="00EC45CF">
        <w:rPr>
          <w:shd w:val="clear" w:color="auto" w:fill="FFFFFF"/>
        </w:rPr>
        <w:t xml:space="preserve"> control installed at WestRock Longview hogged fuel boiler #20 to meet MACT requirements at </w:t>
      </w:r>
      <w:r w:rsidRPr="00EC45CF">
        <w:rPr>
          <w:b/>
          <w:shd w:val="clear" w:color="auto" w:fill="FFFFFF"/>
        </w:rPr>
        <w:t>$6,245/ton</w:t>
      </w:r>
      <w:r w:rsidRPr="00EC45CF">
        <w:rPr>
          <w:shd w:val="clear" w:color="auto" w:fill="FFFFFF"/>
        </w:rPr>
        <w:t xml:space="preserve">. </w:t>
      </w:r>
    </w:p>
    <w:p w14:paraId="11359394" w14:textId="1A6B9B65" w:rsidR="00EC45CF" w:rsidRPr="00EC45CF" w:rsidRDefault="00EC45CF" w:rsidP="00280BCE">
      <w:pPr>
        <w:pStyle w:val="BulletedList"/>
        <w:rPr>
          <w:shd w:val="clear" w:color="auto" w:fill="FFFFFF"/>
        </w:rPr>
      </w:pPr>
      <w:r w:rsidRPr="00EC45CF">
        <w:rPr>
          <w:shd w:val="clear" w:color="auto" w:fill="FFFFFF"/>
        </w:rPr>
        <w:t xml:space="preserve">A 2015 wet electrostatic precipitator (WESP) installed at Port Townsend Paper Corporation (PTPC) power boiler #10 to meet MACT requirements at </w:t>
      </w:r>
      <w:r w:rsidRPr="00EC45CF">
        <w:rPr>
          <w:b/>
          <w:shd w:val="clear" w:color="auto" w:fill="FFFFFF"/>
        </w:rPr>
        <w:t>$15,634/ton</w:t>
      </w:r>
      <w:r w:rsidRPr="00EC45CF">
        <w:rPr>
          <w:shd w:val="clear" w:color="auto" w:fill="FFFFFF"/>
        </w:rPr>
        <w:t>.</w:t>
      </w:r>
    </w:p>
    <w:p w14:paraId="4F6B5FEB" w14:textId="17AB328C" w:rsidR="00EC45CF" w:rsidRPr="00EC45CF" w:rsidRDefault="005A6C75" w:rsidP="00EC45CF">
      <w:pPr>
        <w:pStyle w:val="Paragraph"/>
      </w:pPr>
      <w:r>
        <w:t>We could potentially use t</w:t>
      </w:r>
      <w:r w:rsidR="00EC45CF" w:rsidRPr="00EC45CF">
        <w:t>hese recent actual cost per ton values incurred by the mills f</w:t>
      </w:r>
      <w:r w:rsidR="00CA23F2">
        <w:t>or similar units</w:t>
      </w:r>
      <w:r w:rsidR="00EC45CF" w:rsidRPr="00EC45CF">
        <w:t xml:space="preserve"> for BACT determination considerations (or cost thresholds). However, BACT is determined on a case-by-case basis taking into account other considerations also, such as energy and environmental concerns. Whereas cost thresholds are not necessarily the starting point for BACT determinations, </w:t>
      </w:r>
      <w:r w:rsidR="006C77FD">
        <w:t xml:space="preserve">we can use </w:t>
      </w:r>
      <w:r w:rsidR="00CA23F2">
        <w:t xml:space="preserve">this information </w:t>
      </w:r>
      <w:r w:rsidR="00EC45CF" w:rsidRPr="00EC45CF">
        <w:t>to inform a RACT-level consideration.</w:t>
      </w:r>
    </w:p>
    <w:p w14:paraId="2092C101" w14:textId="77777777" w:rsidR="00EC45CF" w:rsidRPr="00EC45CF" w:rsidRDefault="00EC45CF" w:rsidP="0032043E">
      <w:pPr>
        <w:pStyle w:val="Heading5"/>
        <w:rPr>
          <w:shd w:val="clear" w:color="auto" w:fill="FFFFFF"/>
        </w:rPr>
      </w:pPr>
      <w:bookmarkStart w:id="135" w:name="_Toc51673390"/>
      <w:bookmarkStart w:id="136" w:name="_Toc51674421"/>
      <w:r w:rsidRPr="00EC45CF">
        <w:rPr>
          <w:shd w:val="clear" w:color="auto" w:fill="FFFFFF"/>
        </w:rPr>
        <w:lastRenderedPageBreak/>
        <w:t>Using a BACT-level cost approach and other costs incurred to arrive at RACT thresholds</w:t>
      </w:r>
      <w:bookmarkEnd w:id="135"/>
      <w:bookmarkEnd w:id="136"/>
    </w:p>
    <w:p w14:paraId="390314E3" w14:textId="2A0C51C7" w:rsidR="00EC45CF" w:rsidRPr="00EC45CF" w:rsidRDefault="00EC45CF" w:rsidP="00EC45CF">
      <w:pPr>
        <w:pStyle w:val="Paragraph"/>
      </w:pPr>
      <w:r w:rsidRPr="00EC45CF">
        <w:t>Although similar to BACT in that Ecology has full discretion when making RACT determinations, there are some different RACT guidance principles based on experience and collaboration with other agencies such as EPA, Northwest Clean Air Association (NWCAA), and PSCAA. Some of these principles are:</w:t>
      </w:r>
    </w:p>
    <w:p w14:paraId="464513EB" w14:textId="77777777" w:rsidR="00EC45CF" w:rsidRPr="00EC45CF" w:rsidRDefault="00EC45CF" w:rsidP="006C25EB">
      <w:pPr>
        <w:pStyle w:val="Paragraph"/>
      </w:pPr>
      <w:r w:rsidRPr="00EC45CF">
        <w:t>As explained in the 2016 RACT Analysis, “</w:t>
      </w:r>
      <w:r w:rsidRPr="00EC45CF">
        <w:rPr>
          <w:i/>
        </w:rPr>
        <w:t>the RACT process includes an economic component that is generally less stringent than BACT</w:t>
      </w:r>
      <w:r w:rsidRPr="00EC45CF">
        <w:rPr>
          <w:vertAlign w:val="superscript"/>
        </w:rPr>
        <w:footnoteReference w:id="7"/>
      </w:r>
      <w:r w:rsidRPr="00EC45CF">
        <w:t>,” except possibly when addressing non-attainment areas, or other specific circumstances such as meeting MACT compliance.</w:t>
      </w:r>
    </w:p>
    <w:p w14:paraId="6319F4D6" w14:textId="6C2EDC9D" w:rsidR="00EC45CF" w:rsidRPr="00EC45CF" w:rsidRDefault="00EC45CF" w:rsidP="00280BCE">
      <w:pPr>
        <w:pStyle w:val="BulletedList"/>
        <w:rPr>
          <w:shd w:val="clear" w:color="auto" w:fill="FFFFFF"/>
        </w:rPr>
      </w:pPr>
      <w:r w:rsidRPr="00EC45CF">
        <w:rPr>
          <w:shd w:val="clear" w:color="auto" w:fill="FFFFFF"/>
        </w:rPr>
        <w:t xml:space="preserve">During the development of Ecology’s </w:t>
      </w:r>
      <w:r w:rsidRPr="00EC45CF">
        <w:rPr>
          <w:bCs/>
          <w:shd w:val="clear" w:color="auto" w:fill="FFFFFF"/>
        </w:rPr>
        <w:t>Petroleum Refinery Greenhouse Gas Emission Requirements,</w:t>
      </w:r>
      <w:r w:rsidRPr="00EC45CF">
        <w:rPr>
          <w:bCs/>
          <w:shd w:val="clear" w:color="auto" w:fill="FFFFFF"/>
          <w:vertAlign w:val="superscript"/>
        </w:rPr>
        <w:footnoteReference w:id="8"/>
      </w:r>
      <w:r w:rsidRPr="00EC45CF">
        <w:rPr>
          <w:shd w:val="clear" w:color="auto" w:fill="FFFFFF"/>
        </w:rPr>
        <w:t xml:space="preserve"> with NWCAA and PSCAA, RACT </w:t>
      </w:r>
      <w:r w:rsidR="00173C5A">
        <w:rPr>
          <w:shd w:val="clear" w:color="auto" w:fill="FFFFFF"/>
        </w:rPr>
        <w:t>was generally described as</w:t>
      </w:r>
      <w:r w:rsidR="000E7960">
        <w:rPr>
          <w:shd w:val="clear" w:color="auto" w:fill="FFFFFF"/>
        </w:rPr>
        <w:t xml:space="preserve"> </w:t>
      </w:r>
      <w:r w:rsidR="00173C5A">
        <w:rPr>
          <w:shd w:val="clear" w:color="auto" w:fill="FFFFFF"/>
        </w:rPr>
        <w:t>a less</w:t>
      </w:r>
      <w:r w:rsidR="000E7960">
        <w:rPr>
          <w:shd w:val="clear" w:color="auto" w:fill="FFFFFF"/>
        </w:rPr>
        <w:t xml:space="preserve"> stringent</w:t>
      </w:r>
      <w:r w:rsidR="00173C5A">
        <w:rPr>
          <w:rStyle w:val="FootnoteReference"/>
          <w:shd w:val="clear" w:color="auto" w:fill="FFFFFF"/>
        </w:rPr>
        <w:footnoteReference w:id="9"/>
      </w:r>
      <w:r w:rsidR="000E7960">
        <w:rPr>
          <w:shd w:val="clear" w:color="auto" w:fill="FFFFFF"/>
        </w:rPr>
        <w:t xml:space="preserve"> analysis method to determine emission controls. Lowest Achievable Emission Rate (LAER) is </w:t>
      </w:r>
      <w:r w:rsidR="00646E3E">
        <w:rPr>
          <w:shd w:val="clear" w:color="auto" w:fill="FFFFFF"/>
        </w:rPr>
        <w:t>more</w:t>
      </w:r>
      <w:r w:rsidR="000E7960">
        <w:rPr>
          <w:shd w:val="clear" w:color="auto" w:fill="FFFFFF"/>
        </w:rPr>
        <w:t xml:space="preserve"> stringent and </w:t>
      </w:r>
      <w:r w:rsidR="001E57FF">
        <w:rPr>
          <w:shd w:val="clear" w:color="auto" w:fill="FFFFFF"/>
        </w:rPr>
        <w:t xml:space="preserve">in most cases, </w:t>
      </w:r>
      <w:r w:rsidR="000E7960">
        <w:rPr>
          <w:shd w:val="clear" w:color="auto" w:fill="FFFFFF"/>
        </w:rPr>
        <w:t>is followed by BACT</w:t>
      </w:r>
      <w:r w:rsidR="00173C5A">
        <w:rPr>
          <w:rStyle w:val="FootnoteReference"/>
          <w:shd w:val="clear" w:color="auto" w:fill="FFFFFF"/>
        </w:rPr>
        <w:footnoteReference w:id="10"/>
      </w:r>
      <w:r w:rsidR="001E57FF">
        <w:rPr>
          <w:shd w:val="clear" w:color="auto" w:fill="FFFFFF"/>
        </w:rPr>
        <w:t xml:space="preserve"> in level of stringency</w:t>
      </w:r>
      <w:r w:rsidR="000E7960">
        <w:rPr>
          <w:shd w:val="clear" w:color="auto" w:fill="FFFFFF"/>
        </w:rPr>
        <w:t>.</w:t>
      </w:r>
      <w:r w:rsidRPr="00EC45CF">
        <w:rPr>
          <w:shd w:val="clear" w:color="auto" w:fill="FFFFFF"/>
        </w:rPr>
        <w:t xml:space="preserve"> </w:t>
      </w:r>
      <w:r w:rsidR="00646E3E">
        <w:rPr>
          <w:shd w:val="clear" w:color="auto" w:fill="FFFFFF"/>
        </w:rPr>
        <w:t>RACT generally i</w:t>
      </w:r>
      <w:r w:rsidRPr="00EC45CF">
        <w:rPr>
          <w:shd w:val="clear" w:color="auto" w:fill="FFFFFF"/>
        </w:rPr>
        <w:t>ndicat</w:t>
      </w:r>
      <w:r w:rsidR="00646E3E">
        <w:rPr>
          <w:shd w:val="clear" w:color="auto" w:fill="FFFFFF"/>
        </w:rPr>
        <w:t>es</w:t>
      </w:r>
      <w:r w:rsidRPr="00EC45CF">
        <w:rPr>
          <w:shd w:val="clear" w:color="auto" w:fill="FFFFFF"/>
        </w:rPr>
        <w:t xml:space="preserve"> an “average-level” control upgrade, as opposed to BACT, which </w:t>
      </w:r>
      <w:r w:rsidR="00156702">
        <w:rPr>
          <w:shd w:val="clear" w:color="auto" w:fill="FFFFFF"/>
        </w:rPr>
        <w:t>regulators</w:t>
      </w:r>
      <w:r w:rsidRPr="00EC45CF">
        <w:rPr>
          <w:shd w:val="clear" w:color="auto" w:fill="FFFFFF"/>
        </w:rPr>
        <w:t xml:space="preserve"> generally consider above average in most cases.</w:t>
      </w:r>
    </w:p>
    <w:p w14:paraId="75D2A71B" w14:textId="2DFC67B3" w:rsidR="00EC45CF" w:rsidRPr="00EC45CF" w:rsidRDefault="00B316AF" w:rsidP="00280BCE">
      <w:pPr>
        <w:pStyle w:val="BulletedList"/>
        <w:rPr>
          <w:shd w:val="clear" w:color="auto" w:fill="FFFFFF"/>
        </w:rPr>
      </w:pPr>
      <w:r>
        <w:rPr>
          <w:shd w:val="clear" w:color="auto" w:fill="FFFFFF"/>
        </w:rPr>
        <w:t>Ecology considered a</w:t>
      </w:r>
      <w:r w:rsidR="00EC45CF" w:rsidRPr="00EC45CF">
        <w:rPr>
          <w:shd w:val="clear" w:color="auto" w:fill="FFFFFF"/>
        </w:rPr>
        <w:t xml:space="preserve"> RACT cost threshold at approximately 50</w:t>
      </w:r>
      <w:r w:rsidR="00156702">
        <w:rPr>
          <w:shd w:val="clear" w:color="auto" w:fill="FFFFFF"/>
        </w:rPr>
        <w:t xml:space="preserve"> percent</w:t>
      </w:r>
      <w:r w:rsidR="00EC45CF" w:rsidRPr="00EC45CF">
        <w:rPr>
          <w:shd w:val="clear" w:color="auto" w:fill="FFFFFF"/>
        </w:rPr>
        <w:t xml:space="preserve"> of a BACT cost threshold in the past and </w:t>
      </w:r>
      <w:r w:rsidR="00D92083">
        <w:rPr>
          <w:shd w:val="clear" w:color="auto" w:fill="FFFFFF"/>
        </w:rPr>
        <w:t xml:space="preserve">this approach </w:t>
      </w:r>
      <w:r w:rsidR="00F044BB">
        <w:rPr>
          <w:shd w:val="clear" w:color="auto" w:fill="FFFFFF"/>
        </w:rPr>
        <w:t>is</w:t>
      </w:r>
      <w:r w:rsidR="00EC45CF" w:rsidRPr="00EC45CF">
        <w:rPr>
          <w:shd w:val="clear" w:color="auto" w:fill="FFFFFF"/>
        </w:rPr>
        <w:t xml:space="preserve"> reasonable</w:t>
      </w:r>
      <w:r w:rsidR="00EC45CF" w:rsidRPr="00EC45CF">
        <w:rPr>
          <w:shd w:val="clear" w:color="auto" w:fill="FFFFFF"/>
          <w:vertAlign w:val="superscript"/>
        </w:rPr>
        <w:footnoteReference w:id="11"/>
      </w:r>
      <w:r w:rsidR="00EC45CF" w:rsidRPr="00EC45CF">
        <w:rPr>
          <w:shd w:val="clear" w:color="auto" w:fill="FFFFFF"/>
        </w:rPr>
        <w:t>. Depending on the circumstances,</w:t>
      </w:r>
      <w:r w:rsidR="001A27A2">
        <w:rPr>
          <w:shd w:val="clear" w:color="auto" w:fill="FFFFFF"/>
        </w:rPr>
        <w:t xml:space="preserve"> we could use</w:t>
      </w:r>
      <w:r w:rsidR="00EC45CF" w:rsidRPr="00EC45CF">
        <w:rPr>
          <w:shd w:val="clear" w:color="auto" w:fill="FFFFFF"/>
        </w:rPr>
        <w:t xml:space="preserve"> a 50</w:t>
      </w:r>
      <w:r w:rsidR="00156702">
        <w:rPr>
          <w:shd w:val="clear" w:color="auto" w:fill="FFFFFF"/>
        </w:rPr>
        <w:t xml:space="preserve"> percent</w:t>
      </w:r>
      <w:r w:rsidR="00EC45CF" w:rsidRPr="00EC45CF">
        <w:rPr>
          <w:shd w:val="clear" w:color="auto" w:fill="FFFFFF"/>
        </w:rPr>
        <w:t xml:space="preserve"> factor for MACT costs. </w:t>
      </w:r>
      <w:r w:rsidR="001A27A2">
        <w:rPr>
          <w:shd w:val="clear" w:color="auto" w:fill="FFFFFF"/>
        </w:rPr>
        <w:t>We could also use</w:t>
      </w:r>
      <w:r w:rsidR="00EC45CF" w:rsidRPr="00EC45CF">
        <w:rPr>
          <w:shd w:val="clear" w:color="auto" w:fill="FFFFFF"/>
        </w:rPr>
        <w:t xml:space="preserve"> a 50</w:t>
      </w:r>
      <w:r w:rsidR="00156702">
        <w:rPr>
          <w:shd w:val="clear" w:color="auto" w:fill="FFFFFF"/>
        </w:rPr>
        <w:t xml:space="preserve"> percent</w:t>
      </w:r>
      <w:r w:rsidR="006C25EB">
        <w:rPr>
          <w:shd w:val="clear" w:color="auto" w:fill="FFFFFF"/>
        </w:rPr>
        <w:t xml:space="preserve"> or lower factor </w:t>
      </w:r>
      <w:r w:rsidR="00EC45CF" w:rsidRPr="00EC45CF">
        <w:rPr>
          <w:shd w:val="clear" w:color="auto" w:fill="FFFFFF"/>
        </w:rPr>
        <w:t>for</w:t>
      </w:r>
      <w:r w:rsidR="001E63D3">
        <w:rPr>
          <w:shd w:val="clear" w:color="auto" w:fill="FFFFFF"/>
        </w:rPr>
        <w:t xml:space="preserve"> </w:t>
      </w:r>
      <w:r w:rsidR="00EC45CF" w:rsidRPr="00EC45CF">
        <w:rPr>
          <w:shd w:val="clear" w:color="auto" w:fill="FFFFFF"/>
        </w:rPr>
        <w:t>L</w:t>
      </w:r>
      <w:r w:rsidR="001E63D3">
        <w:rPr>
          <w:shd w:val="clear" w:color="auto" w:fill="FFFFFF"/>
        </w:rPr>
        <w:t>AE</w:t>
      </w:r>
      <w:r w:rsidR="00EC45CF" w:rsidRPr="00EC45CF">
        <w:rPr>
          <w:shd w:val="clear" w:color="auto" w:fill="FFFFFF"/>
        </w:rPr>
        <w:t>R costs.</w:t>
      </w:r>
    </w:p>
    <w:p w14:paraId="2D61B032" w14:textId="1E22133D" w:rsidR="00EC45CF" w:rsidRPr="00EC45CF" w:rsidRDefault="00EC45CF" w:rsidP="00280BCE">
      <w:pPr>
        <w:pStyle w:val="BulletedList"/>
        <w:rPr>
          <w:shd w:val="clear" w:color="auto" w:fill="FFFFFF"/>
        </w:rPr>
      </w:pPr>
      <w:r w:rsidRPr="00EC45CF">
        <w:rPr>
          <w:shd w:val="clear" w:color="auto" w:fill="FFFFFF"/>
        </w:rPr>
        <w:t>The previously used $5,000/ton value cost threshold for RACT is outdated</w:t>
      </w:r>
      <w:r w:rsidRPr="00EC45CF">
        <w:rPr>
          <w:shd w:val="clear" w:color="auto" w:fill="FFFFFF"/>
          <w:vertAlign w:val="superscript"/>
        </w:rPr>
        <w:footnoteReference w:id="12"/>
      </w:r>
      <w:r w:rsidRPr="00EC45CF">
        <w:rPr>
          <w:shd w:val="clear" w:color="auto" w:fill="FFFFFF"/>
        </w:rPr>
        <w:t>.</w:t>
      </w:r>
      <w:r w:rsidR="00074337">
        <w:rPr>
          <w:shd w:val="clear" w:color="auto" w:fill="FFFFFF"/>
        </w:rPr>
        <w:t xml:space="preserve"> </w:t>
      </w:r>
      <w:r w:rsidRPr="00EC45CF">
        <w:rPr>
          <w:shd w:val="clear" w:color="auto" w:fill="FFFFFF"/>
        </w:rPr>
        <w:t>Updating it with either a cost index, such as the Chemical Engineering Plant Cost Index (CEPCI), or actual recent costs inc</w:t>
      </w:r>
      <w:r w:rsidR="006C25EB">
        <w:rPr>
          <w:shd w:val="clear" w:color="auto" w:fill="FFFFFF"/>
        </w:rPr>
        <w:t>urred is a reasonable approach.</w:t>
      </w:r>
    </w:p>
    <w:p w14:paraId="412E6668" w14:textId="57816C9B" w:rsidR="00E22DFA" w:rsidRDefault="00EC45CF" w:rsidP="00EC45CF">
      <w:pPr>
        <w:pStyle w:val="Paragraph"/>
      </w:pPr>
      <w:r w:rsidRPr="00EC45CF">
        <w:t xml:space="preserve">Using recent actual costs incurred </w:t>
      </w:r>
      <w:r w:rsidR="00F044BB">
        <w:t>is</w:t>
      </w:r>
      <w:r w:rsidRPr="00EC45CF">
        <w:t xml:space="preserve"> a reasonable approach to update the $5,000/ton threshold to a value of $6,245 for SNCR (or SCR) to the current timeframe (2020). Similarly, using the recent costs incurred of $6,302/ton for low-</w:t>
      </w:r>
      <w:r w:rsidR="001E255C">
        <w:t>NO</w:t>
      </w:r>
      <w:r w:rsidR="001E255C" w:rsidRPr="001E255C">
        <w:rPr>
          <w:vertAlign w:val="subscript"/>
        </w:rPr>
        <w:t>X</w:t>
      </w:r>
      <w:r w:rsidRPr="00EC45CF">
        <w:t xml:space="preserve"> burners would also be reasonable. These nearly identical costs could justifiably form the lower range of RACT cost thresholds for pulp and paper mills. </w:t>
      </w:r>
    </w:p>
    <w:p w14:paraId="02DFD12F" w14:textId="6094D07F" w:rsidR="00EC45CF" w:rsidRPr="00EC45CF" w:rsidRDefault="00EC45CF" w:rsidP="00EC45CF">
      <w:pPr>
        <w:pStyle w:val="Paragraph"/>
      </w:pPr>
      <w:r w:rsidRPr="00EC45CF">
        <w:t>Based on Ecology’s experience with BACT however, forming an upper range RACT cost threshold based on costs incurred of $15,634/ton</w:t>
      </w:r>
      <w:r w:rsidRPr="00EC45CF">
        <w:rPr>
          <w:b/>
        </w:rPr>
        <w:t xml:space="preserve"> </w:t>
      </w:r>
      <w:r w:rsidRPr="00EC45CF">
        <w:t xml:space="preserve">for PM10 control (WESP) would </w:t>
      </w:r>
      <w:r w:rsidR="00FC222A">
        <w:t>appear</w:t>
      </w:r>
      <w:r w:rsidR="00FC222A" w:rsidRPr="00EC45CF">
        <w:t xml:space="preserve"> </w:t>
      </w:r>
      <w:r w:rsidRPr="00EC45CF">
        <w:t xml:space="preserve">too </w:t>
      </w:r>
      <w:r w:rsidRPr="00EC45CF">
        <w:lastRenderedPageBreak/>
        <w:t>costly.</w:t>
      </w:r>
      <w:r w:rsidRPr="00EC45CF">
        <w:rPr>
          <w:vertAlign w:val="superscript"/>
        </w:rPr>
        <w:footnoteReference w:id="13"/>
      </w:r>
      <w:r w:rsidRPr="00EC45CF">
        <w:t xml:space="preserve"> This is based on the fact that RACT is generally less stringent than BACT or other costs incurred to address specific circumstances (such as non-attainment or MACT compliance) that might not apply to all facilities of the same type. Using the 50</w:t>
      </w:r>
      <w:r w:rsidR="00E22DFA">
        <w:t xml:space="preserve"> percent</w:t>
      </w:r>
      <w:r w:rsidR="00E22DFA" w:rsidRPr="00EC45CF">
        <w:t xml:space="preserve"> principle</w:t>
      </w:r>
      <w:r w:rsidRPr="00EC45CF">
        <w:t xml:space="preserve"> applied to this cost would place the RACT pulp mill upper cost threshold value at a more reasonable $7,817/ton.</w:t>
      </w:r>
      <w:r w:rsidR="00074337">
        <w:t xml:space="preserve"> </w:t>
      </w:r>
      <w:r w:rsidRPr="00EC45CF">
        <w:t xml:space="preserve">Using rounded values, these thresholds would be: $6,250/ton to $7,800/ton; where $6,250/ton could be a threshold for </w:t>
      </w:r>
      <w:r w:rsidR="001E255C">
        <w:t>NO</w:t>
      </w:r>
      <w:r w:rsidR="001E255C" w:rsidRPr="001E255C">
        <w:rPr>
          <w:vertAlign w:val="subscript"/>
        </w:rPr>
        <w:t>X</w:t>
      </w:r>
      <w:r w:rsidRPr="00EC45CF">
        <w:t xml:space="preserve"> control using either SNCR or SCR; $6,300/ton for </w:t>
      </w:r>
      <w:r w:rsidR="0019053A">
        <w:t>low-NOx</w:t>
      </w:r>
      <w:r w:rsidRPr="00EC45CF">
        <w:t xml:space="preserve"> burners; and $7,800/ton for PM</w:t>
      </w:r>
      <w:r w:rsidRPr="003F2414">
        <w:rPr>
          <w:vertAlign w:val="subscript"/>
        </w:rPr>
        <w:t>10</w:t>
      </w:r>
      <w:r w:rsidRPr="00EC45CF">
        <w:t xml:space="preserve"> control.</w:t>
      </w:r>
    </w:p>
    <w:p w14:paraId="4C705E92" w14:textId="77777777" w:rsidR="00EC45CF" w:rsidRPr="00EC45CF" w:rsidRDefault="00EC45CF" w:rsidP="0032043E">
      <w:pPr>
        <w:pStyle w:val="Heading5"/>
        <w:rPr>
          <w:shd w:val="clear" w:color="auto" w:fill="FFFFFF"/>
        </w:rPr>
      </w:pPr>
      <w:bookmarkStart w:id="137" w:name="_Toc51673391"/>
      <w:bookmarkStart w:id="138" w:name="_Toc51674422"/>
      <w:r w:rsidRPr="00EC45CF">
        <w:rPr>
          <w:shd w:val="clear" w:color="auto" w:fill="FFFFFF"/>
        </w:rPr>
        <w:t>Potential RACT thresholds applied to current chemical pulp mill units</w:t>
      </w:r>
      <w:bookmarkEnd w:id="137"/>
      <w:bookmarkEnd w:id="138"/>
    </w:p>
    <w:p w14:paraId="0DE8E54D" w14:textId="1E2C8A17" w:rsidR="00EC45CF" w:rsidRPr="00EC45CF" w:rsidRDefault="003F2414" w:rsidP="00EC45CF">
      <w:pPr>
        <w:pStyle w:val="Paragraph"/>
      </w:pPr>
      <w:r>
        <w:t>We applied</w:t>
      </w:r>
      <w:r w:rsidRPr="00EC45CF">
        <w:t xml:space="preserve"> </w:t>
      </w:r>
      <w:r w:rsidR="00EC45CF" w:rsidRPr="00EC45CF">
        <w:t xml:space="preserve">a potential RACT cost threshold range ($6,250/ton to $7,800/ton) to the pulp mill units described in the </w:t>
      </w:r>
      <w:r w:rsidR="00F5296D">
        <w:t>FFA</w:t>
      </w:r>
      <w:r>
        <w:t>.</w:t>
      </w:r>
      <w:r w:rsidR="00EC45CF" w:rsidRPr="00EC45CF">
        <w:t xml:space="preserve"> </w:t>
      </w:r>
      <w:r>
        <w:t>This</w:t>
      </w:r>
      <w:r w:rsidRPr="00EC45CF">
        <w:t xml:space="preserve"> </w:t>
      </w:r>
      <w:r w:rsidR="00EC45CF" w:rsidRPr="00EC45CF">
        <w:t>provide</w:t>
      </w:r>
      <w:r>
        <w:t>d</w:t>
      </w:r>
      <w:r w:rsidR="00EC45CF" w:rsidRPr="00EC45CF">
        <w:t xml:space="preserve"> the following lists of units for RACT consideration. In other words, the following units have </w:t>
      </w:r>
      <w:r w:rsidR="00712734">
        <w:t xml:space="preserve">estimated </w:t>
      </w:r>
      <w:r w:rsidR="00EC45CF" w:rsidRPr="00EC45CF">
        <w:t xml:space="preserve">cost/ton values that are less than the threshold costs already incurred by the mills for similar pollutants. For </w:t>
      </w:r>
      <w:r w:rsidR="001E255C">
        <w:t>NO</w:t>
      </w:r>
      <w:r w:rsidR="001E255C" w:rsidRPr="001E255C">
        <w:rPr>
          <w:vertAlign w:val="subscript"/>
        </w:rPr>
        <w:t>X</w:t>
      </w:r>
      <w:r w:rsidR="00EC45CF" w:rsidRPr="00EC45CF">
        <w:t xml:space="preserve"> control, the thresholds considered are $6,250/ton and $6,300/ton. </w:t>
      </w:r>
      <w:r w:rsidR="00E22DFA">
        <w:t>For</w:t>
      </w:r>
      <w:r w:rsidR="00EC45CF" w:rsidRPr="00EC45CF">
        <w:t xml:space="preserve"> PM</w:t>
      </w:r>
      <w:r w:rsidR="00EC45CF" w:rsidRPr="003F2414">
        <w:rPr>
          <w:vertAlign w:val="subscript"/>
        </w:rPr>
        <w:t>10</w:t>
      </w:r>
      <w:r w:rsidR="00EC45CF" w:rsidRPr="00EC45CF">
        <w:t xml:space="preserve"> control, </w:t>
      </w:r>
      <w:r>
        <w:t>the threshold</w:t>
      </w:r>
      <w:r w:rsidR="00EC45CF" w:rsidRPr="00EC45CF">
        <w:t xml:space="preserve"> is $7,800/ton.</w:t>
      </w:r>
    </w:p>
    <w:p w14:paraId="46CCA215" w14:textId="1568E06A" w:rsidR="00EC45CF" w:rsidRPr="00EC45CF" w:rsidRDefault="00EC45CF" w:rsidP="00EC45CF">
      <w:pPr>
        <w:pStyle w:val="Paragraph"/>
      </w:pPr>
      <w:r w:rsidRPr="00EC45CF">
        <w:t xml:space="preserve">For </w:t>
      </w:r>
      <w:r w:rsidR="001E255C">
        <w:t>NO</w:t>
      </w:r>
      <w:r w:rsidR="001E255C" w:rsidRPr="001E255C">
        <w:rPr>
          <w:vertAlign w:val="subscript"/>
        </w:rPr>
        <w:t>X</w:t>
      </w:r>
      <w:r w:rsidRPr="00EC45CF">
        <w:t xml:space="preserve"> control using a </w:t>
      </w:r>
      <w:r w:rsidR="0019053A">
        <w:t>low-NOx</w:t>
      </w:r>
      <w:r w:rsidRPr="00EC45CF">
        <w:t xml:space="preserve"> burner, the following units have </w:t>
      </w:r>
      <w:r w:rsidR="00712734">
        <w:t>estimated</w:t>
      </w:r>
      <w:r w:rsidRPr="00EC45CF">
        <w:t xml:space="preserve"> cost/ton value less than the potential RACT threshold of </w:t>
      </w:r>
      <w:r w:rsidRPr="00DD1941">
        <w:t>$6,300/ton</w:t>
      </w:r>
      <w:r w:rsidRPr="00EC45CF">
        <w:t xml:space="preserve">. Adding these controls could potentially reduce </w:t>
      </w:r>
      <w:r w:rsidR="001E255C">
        <w:t>NO</w:t>
      </w:r>
      <w:r w:rsidR="001E255C" w:rsidRPr="001E255C">
        <w:rPr>
          <w:vertAlign w:val="subscript"/>
        </w:rPr>
        <w:t>X</w:t>
      </w:r>
      <w:r w:rsidRPr="00EC45CF">
        <w:t xml:space="preserve"> emissions by approximately 150 tpy.</w:t>
      </w:r>
    </w:p>
    <w:p w14:paraId="3372E3F5" w14:textId="51C8D0A0" w:rsidR="00EC45CF" w:rsidRPr="00EC45CF" w:rsidRDefault="006C25EB" w:rsidP="00280BCE">
      <w:pPr>
        <w:pStyle w:val="BulletedList"/>
        <w:rPr>
          <w:shd w:val="clear" w:color="auto" w:fill="FFFFFF"/>
        </w:rPr>
      </w:pPr>
      <w:r>
        <w:rPr>
          <w:shd w:val="clear" w:color="auto" w:fill="FFFFFF"/>
        </w:rPr>
        <w:t>Nippon Boiler #9 ($2,754/ton);</w:t>
      </w:r>
    </w:p>
    <w:p w14:paraId="59A01029" w14:textId="573E148A" w:rsidR="00EC45CF" w:rsidRPr="00EC45CF" w:rsidRDefault="006C25EB" w:rsidP="00280BCE">
      <w:pPr>
        <w:pStyle w:val="BulletedList"/>
        <w:rPr>
          <w:shd w:val="clear" w:color="auto" w:fill="FFFFFF"/>
        </w:rPr>
      </w:pPr>
      <w:r>
        <w:rPr>
          <w:shd w:val="clear" w:color="auto" w:fill="FFFFFF"/>
        </w:rPr>
        <w:t>PCA boiler #1 ($5,893/ton);</w:t>
      </w:r>
    </w:p>
    <w:p w14:paraId="6C98CCC8" w14:textId="4D14838E" w:rsidR="00EC45CF" w:rsidRPr="00EC45CF" w:rsidRDefault="006C25EB" w:rsidP="00280BCE">
      <w:pPr>
        <w:pStyle w:val="BulletedList"/>
        <w:rPr>
          <w:shd w:val="clear" w:color="auto" w:fill="FFFFFF"/>
        </w:rPr>
      </w:pPr>
      <w:r>
        <w:rPr>
          <w:shd w:val="clear" w:color="auto" w:fill="FFFFFF"/>
        </w:rPr>
        <w:t>PCA boiler #2 ($4,834/ton).</w:t>
      </w:r>
    </w:p>
    <w:p w14:paraId="218CE954" w14:textId="7BE8B468" w:rsidR="00EC45CF" w:rsidRPr="00EC45CF" w:rsidRDefault="00EC45CF" w:rsidP="00EC45CF">
      <w:pPr>
        <w:pStyle w:val="Paragraph"/>
      </w:pPr>
      <w:r w:rsidRPr="00EC45CF">
        <w:t xml:space="preserve">For </w:t>
      </w:r>
      <w:r w:rsidR="001E255C">
        <w:t>NO</w:t>
      </w:r>
      <w:r w:rsidR="001E255C" w:rsidRPr="001E255C">
        <w:rPr>
          <w:vertAlign w:val="subscript"/>
        </w:rPr>
        <w:t>X</w:t>
      </w:r>
      <w:r w:rsidRPr="00EC45CF">
        <w:t xml:space="preserve"> control using an SCR or SNCR, the following units have a cost/ton value less than the potential RACT threshold </w:t>
      </w:r>
      <w:r w:rsidRPr="00DD1941">
        <w:t>of $6,250/ton</w:t>
      </w:r>
      <w:r w:rsidRPr="00EC45CF">
        <w:t xml:space="preserve">. Adding one of these controls could potentially reduce </w:t>
      </w:r>
      <w:r w:rsidR="001E255C">
        <w:t>NO</w:t>
      </w:r>
      <w:r w:rsidR="001E255C" w:rsidRPr="001E255C">
        <w:rPr>
          <w:vertAlign w:val="subscript"/>
        </w:rPr>
        <w:t>X</w:t>
      </w:r>
      <w:r w:rsidRPr="00EC45CF">
        <w:t xml:space="preserve"> emissions by approximately 500 tpy to 1025 tpy.</w:t>
      </w:r>
    </w:p>
    <w:p w14:paraId="35E00000" w14:textId="77777777" w:rsidR="00EC45CF" w:rsidRPr="00EC45CF" w:rsidRDefault="00EC45CF" w:rsidP="00280BCE">
      <w:pPr>
        <w:pStyle w:val="BulletedList"/>
        <w:rPr>
          <w:shd w:val="clear" w:color="auto" w:fill="FFFFFF"/>
        </w:rPr>
      </w:pPr>
      <w:r w:rsidRPr="00EC45CF">
        <w:rPr>
          <w:shd w:val="clear" w:color="auto" w:fill="FFFFFF"/>
        </w:rPr>
        <w:t>Nippon hog fuel (HF) boiler #11 ($5,413 for SNCR); ($5,466/ton for SCR);</w:t>
      </w:r>
    </w:p>
    <w:p w14:paraId="6D6CDA96" w14:textId="2DF6FC38" w:rsidR="00EC45CF" w:rsidRPr="00EC45CF" w:rsidRDefault="00EC45CF" w:rsidP="00280BCE">
      <w:pPr>
        <w:pStyle w:val="BulletedList"/>
        <w:rPr>
          <w:shd w:val="clear" w:color="auto" w:fill="FFFFFF"/>
        </w:rPr>
      </w:pPr>
      <w:r w:rsidRPr="00EC45CF">
        <w:rPr>
          <w:shd w:val="clear" w:color="auto" w:fill="FFFFFF"/>
        </w:rPr>
        <w:t>Nip</w:t>
      </w:r>
      <w:r w:rsidR="006C25EB">
        <w:rPr>
          <w:shd w:val="clear" w:color="auto" w:fill="FFFFFF"/>
        </w:rPr>
        <w:t>pon Boiler #9 ($6,041 for SCR).</w:t>
      </w:r>
    </w:p>
    <w:p w14:paraId="26487497" w14:textId="3D31345E" w:rsidR="00EC45CF" w:rsidRPr="00EC45CF" w:rsidRDefault="00EC45CF" w:rsidP="00EC45CF">
      <w:pPr>
        <w:pStyle w:val="Paragraph"/>
      </w:pPr>
      <w:r w:rsidRPr="00EC45CF">
        <w:t xml:space="preserve">For </w:t>
      </w:r>
      <w:r w:rsidR="003F2414" w:rsidRPr="003F2414">
        <w:t>PM</w:t>
      </w:r>
      <w:r w:rsidR="003F2414" w:rsidRPr="003F2414">
        <w:rPr>
          <w:vertAlign w:val="subscript"/>
        </w:rPr>
        <w:t>10</w:t>
      </w:r>
      <w:r w:rsidR="003F2414" w:rsidRPr="003F2414">
        <w:t xml:space="preserve"> </w:t>
      </w:r>
      <w:r w:rsidRPr="00EC45CF">
        <w:t xml:space="preserve">control, the following units have a cost/ton value less than the potential RACT threshold of </w:t>
      </w:r>
      <w:r w:rsidRPr="00DD1941">
        <w:t>$7,800/ton</w:t>
      </w:r>
      <w:r w:rsidRPr="00EC45CF">
        <w:t>. Adding these controls could potentially reduce PM10 emissions by approximately 30 to 225 tpy depending whether Cosmo (currently in curtailment) is included (see footnotes for Cosmo).</w:t>
      </w:r>
    </w:p>
    <w:p w14:paraId="44AD96D4" w14:textId="77777777" w:rsidR="00EC45CF" w:rsidRPr="00EC45CF" w:rsidRDefault="00EC45CF" w:rsidP="00280BCE">
      <w:pPr>
        <w:pStyle w:val="BulletedList"/>
        <w:rPr>
          <w:shd w:val="clear" w:color="auto" w:fill="FFFFFF"/>
        </w:rPr>
      </w:pPr>
      <w:r w:rsidRPr="00EC45CF">
        <w:rPr>
          <w:shd w:val="clear" w:color="auto" w:fill="FFFFFF"/>
        </w:rPr>
        <w:t xml:space="preserve">WestRock Tacoma Lime Kiln #1 ($6,964/ton). </w:t>
      </w:r>
    </w:p>
    <w:p w14:paraId="528011EA" w14:textId="77777777" w:rsidR="00EC45CF" w:rsidRPr="00EC45CF" w:rsidRDefault="00EC45CF" w:rsidP="00280BCE">
      <w:pPr>
        <w:pStyle w:val="BulletedList"/>
        <w:rPr>
          <w:shd w:val="clear" w:color="auto" w:fill="FFFFFF"/>
        </w:rPr>
      </w:pPr>
      <w:r w:rsidRPr="00EC45CF">
        <w:rPr>
          <w:shd w:val="clear" w:color="auto" w:fill="FFFFFF"/>
        </w:rPr>
        <w:lastRenderedPageBreak/>
        <w:t>Cosmo Specialty Fiber Recovery Furnaces 1-3 ($6,403/ton - $12,740/ton)</w:t>
      </w:r>
      <w:r w:rsidRPr="00EC45CF">
        <w:rPr>
          <w:shd w:val="clear" w:color="auto" w:fill="FFFFFF"/>
          <w:vertAlign w:val="superscript"/>
        </w:rPr>
        <w:footnoteReference w:id="14"/>
      </w:r>
      <w:r w:rsidRPr="00EC45CF">
        <w:rPr>
          <w:shd w:val="clear" w:color="auto" w:fill="FFFFFF"/>
        </w:rPr>
        <w:t xml:space="preserve"> </w:t>
      </w:r>
      <w:r w:rsidRPr="00EC45CF">
        <w:rPr>
          <w:shd w:val="clear" w:color="auto" w:fill="FFFFFF"/>
          <w:vertAlign w:val="superscript"/>
        </w:rPr>
        <w:footnoteReference w:id="15"/>
      </w:r>
      <w:r w:rsidRPr="00EC45CF">
        <w:rPr>
          <w:shd w:val="clear" w:color="auto" w:fill="FFFFFF"/>
        </w:rPr>
        <w:t>.</w:t>
      </w:r>
    </w:p>
    <w:p w14:paraId="1BF57FCA" w14:textId="56269FB2" w:rsidR="00EC45CF" w:rsidRPr="00EC45CF" w:rsidRDefault="00EC45CF" w:rsidP="00EC45CF">
      <w:pPr>
        <w:pStyle w:val="Paragraph"/>
      </w:pPr>
      <w:r w:rsidRPr="00EC45CF">
        <w:t xml:space="preserve">For </w:t>
      </w:r>
      <w:r w:rsidR="00AF3E8D">
        <w:t>SO</w:t>
      </w:r>
      <w:r w:rsidR="00AF3E8D" w:rsidRPr="00AF3E8D">
        <w:rPr>
          <w:vertAlign w:val="subscript"/>
        </w:rPr>
        <w:t>2</w:t>
      </w:r>
      <w:r w:rsidRPr="00EC45CF">
        <w:t xml:space="preserve"> control, Ecology did not receive recent cost incurred information from the pulp mills (the scrubber at WR Tacoma was for HCl control).</w:t>
      </w:r>
      <w:r w:rsidR="00074337">
        <w:t xml:space="preserve"> </w:t>
      </w:r>
      <w:r w:rsidRPr="00EC45CF">
        <w:t xml:space="preserve">The </w:t>
      </w:r>
      <w:r w:rsidR="00AF3E8D">
        <w:t>SO</w:t>
      </w:r>
      <w:r w:rsidR="00AF3E8D" w:rsidRPr="00AF3E8D">
        <w:rPr>
          <w:vertAlign w:val="subscript"/>
        </w:rPr>
        <w:t>2</w:t>
      </w:r>
      <w:r w:rsidRPr="00EC45CF">
        <w:t xml:space="preserve"> control cost estimates that the pulp mills submitted to Ecology are greater than the potential cost threshold range of the other </w:t>
      </w:r>
      <w:r w:rsidR="00C67AFF">
        <w:t>RH</w:t>
      </w:r>
      <w:r w:rsidRPr="00EC45CF">
        <w:t xml:space="preserve"> pollutant costs of </w:t>
      </w:r>
      <w:r w:rsidR="00074337">
        <w:t>$6,250 - $7,800.</w:t>
      </w:r>
    </w:p>
    <w:p w14:paraId="4FAD269E" w14:textId="77777777" w:rsidR="00EC45CF" w:rsidRPr="00EC45CF" w:rsidRDefault="00EC45CF" w:rsidP="0032043E">
      <w:pPr>
        <w:pStyle w:val="Heading5"/>
        <w:rPr>
          <w:shd w:val="clear" w:color="auto" w:fill="FFFFFF"/>
        </w:rPr>
      </w:pPr>
      <w:bookmarkStart w:id="139" w:name="_Toc51673392"/>
      <w:bookmarkStart w:id="140" w:name="_Toc51674423"/>
      <w:r w:rsidRPr="00EC45CF">
        <w:rPr>
          <w:shd w:val="clear" w:color="auto" w:fill="FFFFFF"/>
        </w:rPr>
        <w:t>Intermediate review</w:t>
      </w:r>
      <w:bookmarkEnd w:id="139"/>
      <w:bookmarkEnd w:id="140"/>
    </w:p>
    <w:p w14:paraId="76C24396" w14:textId="2DDB2AD6" w:rsidR="00B75C28" w:rsidRDefault="00EC45CF" w:rsidP="00EC45CF">
      <w:pPr>
        <w:pStyle w:val="Paragraph"/>
      </w:pPr>
      <w:r w:rsidRPr="00EC45CF">
        <w:t>Ecology</w:t>
      </w:r>
      <w:r w:rsidR="00DD1941">
        <w:t xml:space="preserve"> performed further analysis</w:t>
      </w:r>
      <w:r w:rsidR="00B75C28">
        <w:t>,</w:t>
      </w:r>
      <w:r w:rsidRPr="00EC45CF">
        <w:t xml:space="preserve"> taking into account the initial review</w:t>
      </w:r>
      <w:r w:rsidR="00B75C28">
        <w:t>, additional information,</w:t>
      </w:r>
      <w:r w:rsidRPr="00EC45CF">
        <w:t xml:space="preserve"> </w:t>
      </w:r>
      <w:r w:rsidR="00B75C28">
        <w:t>and including</w:t>
      </w:r>
      <w:r w:rsidRPr="00EC45CF">
        <w:t xml:space="preserve"> potential ramifications on </w:t>
      </w:r>
      <w:r w:rsidR="00C67AFF">
        <w:t>RH</w:t>
      </w:r>
      <w:r w:rsidRPr="00EC45CF">
        <w:t xml:space="preserve"> during the current 2014</w:t>
      </w:r>
      <w:r w:rsidR="00984D67">
        <w:t>-2028 implementation period</w:t>
      </w:r>
      <w:r w:rsidR="006C25EB">
        <w:t>.</w:t>
      </w:r>
    </w:p>
    <w:p w14:paraId="40AF5769" w14:textId="25998262" w:rsidR="00EC45CF" w:rsidRPr="00EC45CF" w:rsidRDefault="00EC45CF" w:rsidP="00EC45CF">
      <w:pPr>
        <w:pStyle w:val="Paragraph"/>
      </w:pPr>
      <w:r w:rsidRPr="00EC45CF">
        <w:t xml:space="preserve">Specifically, </w:t>
      </w:r>
      <w:r w:rsidR="00E22DFA">
        <w:t xml:space="preserve">Ecology considered </w:t>
      </w:r>
      <w:r w:rsidR="00984D67">
        <w:t xml:space="preserve">the following information </w:t>
      </w:r>
      <w:r w:rsidRPr="00EC45CF">
        <w:t>as part of this intermediate analysis:</w:t>
      </w:r>
    </w:p>
    <w:p w14:paraId="58E98199" w14:textId="77777777" w:rsidR="00EC45CF" w:rsidRPr="00EC45CF" w:rsidRDefault="00EC45CF" w:rsidP="00280BCE">
      <w:pPr>
        <w:pStyle w:val="BulletedList"/>
        <w:rPr>
          <w:shd w:val="clear" w:color="auto" w:fill="FFFFFF"/>
        </w:rPr>
      </w:pPr>
      <w:r w:rsidRPr="00EC45CF">
        <w:rPr>
          <w:shd w:val="clear" w:color="auto" w:fill="FFFFFF"/>
        </w:rPr>
        <w:t>Two of the mills are currently not operating as chemical pulp and paper mills (GP Camas no longer operates as chemical pulp mill and Cosmo went into curtailment in 2020).</w:t>
      </w:r>
    </w:p>
    <w:p w14:paraId="111DA3AD" w14:textId="337A3D3E" w:rsidR="00EC45CF" w:rsidRPr="00EC45CF" w:rsidRDefault="00EC45CF" w:rsidP="00280BCE">
      <w:pPr>
        <w:pStyle w:val="BulletedList"/>
        <w:rPr>
          <w:shd w:val="clear" w:color="auto" w:fill="FFFFFF"/>
        </w:rPr>
      </w:pPr>
      <w:r w:rsidRPr="00EC45CF">
        <w:rPr>
          <w:shd w:val="clear" w:color="auto" w:fill="FFFFFF"/>
        </w:rPr>
        <w:t xml:space="preserve">If the </w:t>
      </w:r>
      <w:r w:rsidR="00E22DFA">
        <w:rPr>
          <w:shd w:val="clear" w:color="auto" w:fill="FFFFFF"/>
        </w:rPr>
        <w:t xml:space="preserve">facility implemented the </w:t>
      </w:r>
      <w:r w:rsidRPr="00EC45CF">
        <w:rPr>
          <w:shd w:val="clear" w:color="auto" w:fill="FFFFFF"/>
        </w:rPr>
        <w:t xml:space="preserve">controls listed above, the amount of </w:t>
      </w:r>
      <w:r w:rsidR="00C67AFF">
        <w:rPr>
          <w:shd w:val="clear" w:color="auto" w:fill="FFFFFF"/>
        </w:rPr>
        <w:t>RH</w:t>
      </w:r>
      <w:r w:rsidRPr="00EC45CF">
        <w:rPr>
          <w:shd w:val="clear" w:color="auto" w:fill="FFFFFF"/>
        </w:rPr>
        <w:t xml:space="preserve"> pollutants removed from the chemical pulp mill emissions would be approximately 500 tpy to 1,300 tpy.</w:t>
      </w:r>
    </w:p>
    <w:p w14:paraId="391CD633" w14:textId="3FBE83B3" w:rsidR="00EC45CF" w:rsidRPr="00EC45CF" w:rsidRDefault="00EC45CF" w:rsidP="00280BCE">
      <w:pPr>
        <w:pStyle w:val="BulletedList"/>
        <w:rPr>
          <w:shd w:val="clear" w:color="auto" w:fill="FFFFFF"/>
        </w:rPr>
      </w:pPr>
      <w:r w:rsidRPr="00EC45CF">
        <w:rPr>
          <w:shd w:val="clear" w:color="auto" w:fill="FFFFFF"/>
        </w:rPr>
        <w:t>The amount of reductions considered in Ecology’s 2016 RACT Analysis was approximately 1,345 tpy. The</w:t>
      </w:r>
      <w:r w:rsidRPr="00EC45CF" w:rsidDel="00DD1941">
        <w:rPr>
          <w:shd w:val="clear" w:color="auto" w:fill="FFFFFF"/>
        </w:rPr>
        <w:t xml:space="preserve"> </w:t>
      </w:r>
      <w:r w:rsidRPr="00EC45CF">
        <w:rPr>
          <w:shd w:val="clear" w:color="auto" w:fill="FFFFFF"/>
        </w:rPr>
        <w:t>visibility benefits</w:t>
      </w:r>
      <w:r w:rsidRPr="00EC45CF" w:rsidDel="00DD1941">
        <w:rPr>
          <w:shd w:val="clear" w:color="auto" w:fill="FFFFFF"/>
        </w:rPr>
        <w:t xml:space="preserve"> </w:t>
      </w:r>
      <w:r w:rsidRPr="00EC45CF">
        <w:rPr>
          <w:shd w:val="clear" w:color="auto" w:fill="FFFFFF"/>
        </w:rPr>
        <w:t xml:space="preserve">based on comprehensive photochemical grid modeling was no more than 0.127 deciview (dv) in </w:t>
      </w:r>
      <w:r w:rsidR="00DD1941">
        <w:rPr>
          <w:shd w:val="clear" w:color="auto" w:fill="FFFFFF"/>
        </w:rPr>
        <w:t>CIAs</w:t>
      </w:r>
      <w:r w:rsidRPr="00EC45CF">
        <w:rPr>
          <w:shd w:val="clear" w:color="auto" w:fill="FFFFFF"/>
        </w:rPr>
        <w:t>.</w:t>
      </w:r>
    </w:p>
    <w:p w14:paraId="483EAFAF" w14:textId="57CF651E" w:rsidR="00EC45CF" w:rsidRPr="00074337" w:rsidRDefault="00EC45CF" w:rsidP="00074337">
      <w:pPr>
        <w:pStyle w:val="BulletedList"/>
        <w:rPr>
          <w:shd w:val="clear" w:color="auto" w:fill="FFFFFF"/>
        </w:rPr>
      </w:pPr>
      <w:r w:rsidRPr="00EC45CF">
        <w:rPr>
          <w:shd w:val="clear" w:color="auto" w:fill="FFFFFF"/>
        </w:rPr>
        <w:t>From page 38 of EPA’s August 2019 Guidance on Regional Haze State Implementation Plans for the Second Implementation Period (EPA Guidance): “a measure may be necessary for reasonable progress even if that measure in isolation does not result in perceptible visibility improvement.”</w:t>
      </w:r>
    </w:p>
    <w:p w14:paraId="27E6952E" w14:textId="77777777" w:rsidR="00EC45CF" w:rsidRPr="00EC45CF" w:rsidRDefault="00EC45CF" w:rsidP="00280BCE">
      <w:pPr>
        <w:pStyle w:val="BulletedList"/>
        <w:rPr>
          <w:shd w:val="clear" w:color="auto" w:fill="FFFFFF"/>
        </w:rPr>
      </w:pPr>
      <w:r w:rsidRPr="00EC45CF">
        <w:rPr>
          <w:shd w:val="clear" w:color="auto" w:fill="FFFFFF"/>
        </w:rPr>
        <w:lastRenderedPageBreak/>
        <w:t>The Federal Land Managers (FLMs) have not issued an Adverse Impact Determination for any of the chemical pulp mills in Washington State, as they have for other industries included in Ecology’s current Q/d</w:t>
      </w:r>
      <w:r w:rsidRPr="00EC45CF">
        <w:rPr>
          <w:shd w:val="clear" w:color="auto" w:fill="FFFFFF"/>
          <w:vertAlign w:val="superscript"/>
        </w:rPr>
        <w:footnoteReference w:id="16"/>
      </w:r>
      <w:r w:rsidRPr="00EC45CF">
        <w:rPr>
          <w:shd w:val="clear" w:color="auto" w:fill="FFFFFF"/>
        </w:rPr>
        <w:t xml:space="preserve"> analysis</w:t>
      </w:r>
      <w:r w:rsidRPr="00EC45CF">
        <w:rPr>
          <w:shd w:val="clear" w:color="auto" w:fill="FFFFFF"/>
          <w:vertAlign w:val="superscript"/>
        </w:rPr>
        <w:footnoteReference w:id="17"/>
      </w:r>
      <w:r w:rsidRPr="00EC45CF">
        <w:rPr>
          <w:shd w:val="clear" w:color="auto" w:fill="FFFFFF"/>
        </w:rPr>
        <w:t xml:space="preserve"> </w:t>
      </w:r>
      <w:r w:rsidRPr="00EC45CF">
        <w:rPr>
          <w:shd w:val="clear" w:color="auto" w:fill="FFFFFF"/>
          <w:vertAlign w:val="superscript"/>
        </w:rPr>
        <w:footnoteReference w:id="18"/>
      </w:r>
      <w:r w:rsidRPr="00EC45CF">
        <w:rPr>
          <w:shd w:val="clear" w:color="auto" w:fill="FFFFFF"/>
        </w:rPr>
        <w:t>.</w:t>
      </w:r>
    </w:p>
    <w:p w14:paraId="53F5DFEC" w14:textId="675EDA18" w:rsidR="00EC45CF" w:rsidRPr="00EC45CF" w:rsidRDefault="00EC45CF" w:rsidP="00280BCE">
      <w:pPr>
        <w:pStyle w:val="BulletedList"/>
        <w:rPr>
          <w:shd w:val="clear" w:color="auto" w:fill="FFFFFF"/>
        </w:rPr>
      </w:pPr>
      <w:r w:rsidRPr="00EC45CF">
        <w:rPr>
          <w:shd w:val="clear" w:color="auto" w:fill="FFFFFF"/>
        </w:rPr>
        <w:t xml:space="preserve">The amount of </w:t>
      </w:r>
      <w:r w:rsidR="00C67AFF">
        <w:rPr>
          <w:shd w:val="clear" w:color="auto" w:fill="FFFFFF"/>
        </w:rPr>
        <w:t>RH</w:t>
      </w:r>
      <w:r w:rsidRPr="00EC45CF">
        <w:rPr>
          <w:shd w:val="clear" w:color="auto" w:fill="FFFFFF"/>
        </w:rPr>
        <w:t xml:space="preserve"> pollutants from the chemical pulp mills has decreased by 2,362 tpy from the estimated emission averages used in the 2016 RACT Analysis to 2019 </w:t>
      </w:r>
      <w:r w:rsidR="008413B5">
        <w:rPr>
          <w:shd w:val="clear" w:color="auto" w:fill="FFFFFF"/>
        </w:rPr>
        <w:t>EIs</w:t>
      </w:r>
      <w:r w:rsidRPr="00EC45CF">
        <w:rPr>
          <w:shd w:val="clear" w:color="auto" w:fill="FFFFFF"/>
          <w:vertAlign w:val="superscript"/>
        </w:rPr>
        <w:footnoteReference w:id="19"/>
      </w:r>
      <w:r w:rsidRPr="00EC45CF">
        <w:rPr>
          <w:shd w:val="clear" w:color="auto" w:fill="FFFFFF"/>
        </w:rPr>
        <w:t xml:space="preserve"> (See Figure 1). Other </w:t>
      </w:r>
      <w:r w:rsidR="00C67AFF">
        <w:rPr>
          <w:shd w:val="clear" w:color="auto" w:fill="FFFFFF"/>
        </w:rPr>
        <w:t>RH</w:t>
      </w:r>
      <w:r w:rsidRPr="00EC45CF">
        <w:rPr>
          <w:shd w:val="clear" w:color="auto" w:fill="FFFFFF"/>
        </w:rPr>
        <w:t xml:space="preserve"> pollutants </w:t>
      </w:r>
      <w:r w:rsidR="003F7F83">
        <w:rPr>
          <w:shd w:val="clear" w:color="auto" w:fill="FFFFFF"/>
        </w:rPr>
        <w:t xml:space="preserve">(such as ammonia or NH3) </w:t>
      </w:r>
      <w:r w:rsidRPr="00EC45CF">
        <w:rPr>
          <w:shd w:val="clear" w:color="auto" w:fill="FFFFFF"/>
        </w:rPr>
        <w:t xml:space="preserve">have negligible emissions compared to those shown in Figure 1. </w:t>
      </w:r>
    </w:p>
    <w:p w14:paraId="3A7119AE" w14:textId="77777777" w:rsidR="0085684F" w:rsidRDefault="00EC45CF" w:rsidP="0085684F">
      <w:pPr>
        <w:pStyle w:val="Paragraph"/>
        <w:keepNext/>
      </w:pPr>
      <w:r w:rsidRPr="00EC45CF">
        <w:rPr>
          <w:noProof/>
        </w:rPr>
        <w:drawing>
          <wp:inline distT="0" distB="0" distL="0" distR="0" wp14:anchorId="039AB846" wp14:editId="25E16A3C">
            <wp:extent cx="4584700" cy="2755900"/>
            <wp:effectExtent l="0" t="0" r="6350" b="6350"/>
            <wp:docPr id="8" name="Picture 8" descr="This picture shows regional haze polutants from pulp mills descreasing from the averages used in the 2016 RACT analysis to 2019 with less decreases from 2019 through 2021." title="Emission reductions of WA chemical pulp m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E55525D" w14:textId="5A684C7A" w:rsidR="00EC45CF" w:rsidRPr="00EC45CF" w:rsidRDefault="0085684F" w:rsidP="0085684F">
      <w:pPr>
        <w:pStyle w:val="Caption"/>
        <w:rPr>
          <w:rFonts w:asciiTheme="minorHAnsi" w:hAnsiTheme="minorHAnsi"/>
          <w:shd w:val="clear" w:color="auto" w:fill="FFFFFF"/>
        </w:rPr>
      </w:pPr>
      <w:bookmarkStart w:id="141" w:name="_Toc49930943"/>
      <w:r>
        <w:t xml:space="preserve">Figure </w:t>
      </w:r>
      <w:r w:rsidR="00F45623">
        <w:rPr>
          <w:noProof/>
        </w:rPr>
        <w:fldChar w:fldCharType="begin"/>
      </w:r>
      <w:r w:rsidR="00F45623">
        <w:rPr>
          <w:noProof/>
        </w:rPr>
        <w:instrText xml:space="preserve"> SEQ Figure \* ARABIC </w:instrText>
      </w:r>
      <w:r w:rsidR="00F45623">
        <w:rPr>
          <w:noProof/>
        </w:rPr>
        <w:fldChar w:fldCharType="separate"/>
      </w:r>
      <w:r w:rsidR="00BB7101">
        <w:rPr>
          <w:noProof/>
        </w:rPr>
        <w:t>1</w:t>
      </w:r>
      <w:r w:rsidR="00F45623">
        <w:rPr>
          <w:noProof/>
        </w:rPr>
        <w:fldChar w:fldCharType="end"/>
      </w:r>
      <w:r w:rsidDel="00C864FA">
        <w:t>:</w:t>
      </w:r>
      <w:r w:rsidR="00C864FA" w:rsidRPr="00E669A1">
        <w:t xml:space="preserve"> Emission</w:t>
      </w:r>
      <w:r w:rsidRPr="00E669A1">
        <w:t xml:space="preserve"> reductions of WA chemical pulp mills</w:t>
      </w:r>
      <w:bookmarkEnd w:id="141"/>
    </w:p>
    <w:p w14:paraId="50FFA504" w14:textId="77777777" w:rsidR="00EC45CF" w:rsidRPr="00EC45CF" w:rsidRDefault="00EC45CF" w:rsidP="00EC45CF">
      <w:pPr>
        <w:pStyle w:val="Paragraph"/>
      </w:pPr>
      <w:r w:rsidRPr="00EC45CF">
        <w:t>Based on an intermediate review of information, Ecology concludes that:</w:t>
      </w:r>
    </w:p>
    <w:p w14:paraId="7A6A778C" w14:textId="471F64D3" w:rsidR="00EC45CF" w:rsidRPr="00EC45CF" w:rsidRDefault="00EC45CF" w:rsidP="00280BCE">
      <w:pPr>
        <w:pStyle w:val="BulletedList"/>
        <w:rPr>
          <w:shd w:val="clear" w:color="auto" w:fill="FFFFFF"/>
        </w:rPr>
      </w:pPr>
      <w:r w:rsidRPr="00EC45CF">
        <w:rPr>
          <w:shd w:val="clear" w:color="auto" w:fill="FFFFFF"/>
        </w:rPr>
        <w:t xml:space="preserve">Currently, </w:t>
      </w:r>
      <w:r w:rsidR="00C864FA">
        <w:rPr>
          <w:shd w:val="clear" w:color="auto" w:fill="FFFFFF"/>
        </w:rPr>
        <w:t xml:space="preserve">no one has demonstrated </w:t>
      </w:r>
      <w:r w:rsidRPr="00EC45CF">
        <w:rPr>
          <w:shd w:val="clear" w:color="auto" w:fill="FFFFFF"/>
        </w:rPr>
        <w:t>using SCRs f</w:t>
      </w:r>
      <w:r w:rsidR="00984D67">
        <w:rPr>
          <w:shd w:val="clear" w:color="auto" w:fill="FFFFFF"/>
        </w:rPr>
        <w:t xml:space="preserve">or recovery furnaces (boilers) </w:t>
      </w:r>
      <w:r w:rsidRPr="00EC45CF">
        <w:rPr>
          <w:shd w:val="clear" w:color="auto" w:fill="FFFFFF"/>
        </w:rPr>
        <w:t>in practice, but they could potentially progress to a level of technically feasibility during a future implementation period.</w:t>
      </w:r>
    </w:p>
    <w:p w14:paraId="617921AE" w14:textId="2D080DB4" w:rsidR="00EC45CF" w:rsidRPr="00EC45CF" w:rsidRDefault="00374B5D" w:rsidP="00280BCE">
      <w:pPr>
        <w:pStyle w:val="BulletedList"/>
        <w:rPr>
          <w:shd w:val="clear" w:color="auto" w:fill="FFFFFF"/>
        </w:rPr>
      </w:pPr>
      <w:r>
        <w:rPr>
          <w:shd w:val="clear" w:color="auto" w:fill="FFFFFF"/>
        </w:rPr>
        <w:lastRenderedPageBreak/>
        <w:t xml:space="preserve">The pulp mills had </w:t>
      </w:r>
      <w:r w:rsidR="00EC45CF" w:rsidRPr="00EC45CF">
        <w:rPr>
          <w:shd w:val="clear" w:color="auto" w:fill="FFFFFF"/>
        </w:rPr>
        <w:t xml:space="preserve">greater actual reductions (2,363 tpy) in </w:t>
      </w:r>
      <w:r w:rsidR="00C67AFF">
        <w:rPr>
          <w:shd w:val="clear" w:color="auto" w:fill="FFFFFF"/>
        </w:rPr>
        <w:t>RH</w:t>
      </w:r>
      <w:r w:rsidR="00EC45CF" w:rsidRPr="00EC45CF">
        <w:rPr>
          <w:shd w:val="clear" w:color="auto" w:fill="FFFFFF"/>
        </w:rPr>
        <w:t xml:space="preserve"> pollutants </w:t>
      </w:r>
      <w:r w:rsidR="006A560F">
        <w:rPr>
          <w:shd w:val="clear" w:color="auto" w:fill="FFFFFF"/>
        </w:rPr>
        <w:t>after</w:t>
      </w:r>
      <w:r w:rsidR="006A560F" w:rsidRPr="00EC45CF">
        <w:rPr>
          <w:shd w:val="clear" w:color="auto" w:fill="FFFFFF"/>
        </w:rPr>
        <w:t xml:space="preserve"> </w:t>
      </w:r>
      <w:r w:rsidR="00EC45CF" w:rsidRPr="00EC45CF">
        <w:rPr>
          <w:shd w:val="clear" w:color="auto" w:fill="FFFFFF"/>
        </w:rPr>
        <w:t xml:space="preserve">the 2016 RACT Analysis </w:t>
      </w:r>
      <w:r w:rsidR="006A560F">
        <w:rPr>
          <w:shd w:val="clear" w:color="auto" w:fill="FFFFFF"/>
        </w:rPr>
        <w:t xml:space="preserve">was prepared </w:t>
      </w:r>
      <w:r w:rsidR="00EC45CF" w:rsidRPr="00EC45CF">
        <w:rPr>
          <w:shd w:val="clear" w:color="auto" w:fill="FFFFFF"/>
        </w:rPr>
        <w:t xml:space="preserve">than were proposed in the 2016 RACT Analysis </w:t>
      </w:r>
      <w:r w:rsidR="006A560F">
        <w:rPr>
          <w:shd w:val="clear" w:color="auto" w:fill="FFFFFF"/>
        </w:rPr>
        <w:t>itself</w:t>
      </w:r>
      <w:r w:rsidR="00EC45CF" w:rsidRPr="00EC45CF">
        <w:rPr>
          <w:shd w:val="clear" w:color="auto" w:fill="FFFFFF"/>
        </w:rPr>
        <w:t xml:space="preserve"> (1,345 tpy).</w:t>
      </w:r>
    </w:p>
    <w:p w14:paraId="7F0DF8BB" w14:textId="36213EB8" w:rsidR="00EC45CF" w:rsidRPr="00EC45CF" w:rsidRDefault="00374B5D" w:rsidP="00280BCE">
      <w:pPr>
        <w:pStyle w:val="BulletedList"/>
        <w:rPr>
          <w:shd w:val="clear" w:color="auto" w:fill="FFFFFF"/>
        </w:rPr>
      </w:pPr>
      <w:r>
        <w:rPr>
          <w:shd w:val="clear" w:color="auto" w:fill="FFFFFF"/>
        </w:rPr>
        <w:t>The pulp mills had</w:t>
      </w:r>
      <w:r w:rsidR="00EC45CF" w:rsidRPr="00EC45CF">
        <w:rPr>
          <w:shd w:val="clear" w:color="auto" w:fill="FFFFFF"/>
        </w:rPr>
        <w:t xml:space="preserve"> greater reductions (2,363 tpy) in </w:t>
      </w:r>
      <w:r w:rsidR="00C67AFF">
        <w:rPr>
          <w:shd w:val="clear" w:color="auto" w:fill="FFFFFF"/>
        </w:rPr>
        <w:t>RH</w:t>
      </w:r>
      <w:r w:rsidR="00EC45CF" w:rsidRPr="00EC45CF">
        <w:rPr>
          <w:shd w:val="clear" w:color="auto" w:fill="FFFFFF"/>
        </w:rPr>
        <w:t xml:space="preserve"> </w:t>
      </w:r>
      <w:r w:rsidR="00984D67">
        <w:rPr>
          <w:shd w:val="clear" w:color="auto" w:fill="FFFFFF"/>
        </w:rPr>
        <w:t>pollutants since the 2016 RACT a</w:t>
      </w:r>
      <w:r w:rsidR="00EC45CF" w:rsidRPr="00EC45CF">
        <w:rPr>
          <w:shd w:val="clear" w:color="auto" w:fill="FFFFFF"/>
        </w:rPr>
        <w:t xml:space="preserve">nalysis than would be accomplished if the controls in the </w:t>
      </w:r>
      <w:r w:rsidR="00EC45CF" w:rsidRPr="00DD1941">
        <w:rPr>
          <w:shd w:val="clear" w:color="auto" w:fill="FFFFFF"/>
        </w:rPr>
        <w:t>Initial Review</w:t>
      </w:r>
      <w:r w:rsidR="00EC45CF" w:rsidRPr="00EC45CF">
        <w:rPr>
          <w:shd w:val="clear" w:color="auto" w:fill="FFFFFF"/>
        </w:rPr>
        <w:t xml:space="preserve"> section of this document were to be implemented (500 tpy to 1,300 tpy)</w:t>
      </w:r>
      <w:r w:rsidR="00EC45CF" w:rsidRPr="00EC45CF">
        <w:rPr>
          <w:shd w:val="clear" w:color="auto" w:fill="FFFFFF"/>
          <w:vertAlign w:val="superscript"/>
        </w:rPr>
        <w:footnoteReference w:id="20"/>
      </w:r>
      <w:r w:rsidR="00EC45CF" w:rsidRPr="00EC45CF">
        <w:rPr>
          <w:shd w:val="clear" w:color="auto" w:fill="FFFFFF"/>
        </w:rPr>
        <w:t>.</w:t>
      </w:r>
    </w:p>
    <w:p w14:paraId="2C28FCCD" w14:textId="6C715D0E" w:rsidR="00EC45CF" w:rsidRPr="00EC45CF" w:rsidRDefault="00EC45CF" w:rsidP="00EC45CF">
      <w:pPr>
        <w:pStyle w:val="Paragraph"/>
      </w:pPr>
      <w:r w:rsidRPr="00EC45CF">
        <w:t xml:space="preserve">Based on this information, Ecology focused on the section from the </w:t>
      </w:r>
      <w:r w:rsidR="00230A7B">
        <w:t xml:space="preserve">2019 </w:t>
      </w:r>
      <w:r w:rsidRPr="00EC45CF">
        <w:t xml:space="preserve">EPA </w:t>
      </w:r>
      <w:r w:rsidRPr="00EC45CF" w:rsidDel="00C864FA">
        <w:t>Guidance</w:t>
      </w:r>
      <w:r w:rsidR="00C864FA" w:rsidRPr="00EC45CF">
        <w:t>, which</w:t>
      </w:r>
      <w:r w:rsidRPr="00EC45CF">
        <w:t xml:space="preserve"> states that:</w:t>
      </w:r>
    </w:p>
    <w:p w14:paraId="3B771D57" w14:textId="117D5B5A" w:rsidR="00EC45CF" w:rsidRPr="00EC45CF" w:rsidRDefault="00EC45CF" w:rsidP="00EC45CF">
      <w:pPr>
        <w:pStyle w:val="Paragraph"/>
      </w:pPr>
      <w:r w:rsidRPr="00EC45CF">
        <w:t xml:space="preserve">“a measure may be necessary for reasonable progress even if that measure </w:t>
      </w:r>
      <w:r w:rsidR="00074337">
        <w:t>in isolation</w:t>
      </w:r>
      <w:r w:rsidRPr="00EC45CF">
        <w:t xml:space="preserve"> does not result in perce</w:t>
      </w:r>
      <w:r w:rsidR="00132D39">
        <w:t>ptible visibility improvement.”</w:t>
      </w:r>
    </w:p>
    <w:p w14:paraId="63AD566A" w14:textId="6222B954" w:rsidR="00EC45CF" w:rsidRPr="00EC45CF" w:rsidRDefault="00EC45CF" w:rsidP="00EC45CF">
      <w:pPr>
        <w:pStyle w:val="Paragraph"/>
      </w:pPr>
      <w:r w:rsidRPr="00EC45CF">
        <w:t xml:space="preserve">Ecology has demonstrated that the controls discussed in this </w:t>
      </w:r>
      <w:r w:rsidR="007D4B2D">
        <w:t>section</w:t>
      </w:r>
      <w:r w:rsidR="007D4B2D" w:rsidRPr="00EC45CF">
        <w:t xml:space="preserve"> </w:t>
      </w:r>
      <w:r w:rsidRPr="00EC45CF">
        <w:t xml:space="preserve">would </w:t>
      </w:r>
      <w:r w:rsidR="00E8200C">
        <w:t xml:space="preserve">most likely </w:t>
      </w:r>
      <w:r w:rsidRPr="00EC45CF">
        <w:t xml:space="preserve">not result in perceptible visibility improvement in </w:t>
      </w:r>
      <w:r w:rsidR="007D4B2D">
        <w:t>CIAs</w:t>
      </w:r>
      <w:r w:rsidRPr="00EC45CF">
        <w:t xml:space="preserve"> in Washington State if applied only by the pulp mills. </w:t>
      </w:r>
      <w:r w:rsidR="005B276B">
        <w:t>We based</w:t>
      </w:r>
      <w:r w:rsidR="00C864FA">
        <w:t xml:space="preserve"> this assessment</w:t>
      </w:r>
      <w:r w:rsidR="000D04B7">
        <w:t xml:space="preserve"> on the 2016 RACT a</w:t>
      </w:r>
      <w:r w:rsidRPr="00EC45CF">
        <w:t xml:space="preserve">nalysis and a comparison between the amount of proposed emission reductions in </w:t>
      </w:r>
      <w:r w:rsidR="000D04B7">
        <w:t xml:space="preserve">the </w:t>
      </w:r>
      <w:r w:rsidR="007E69A9">
        <w:t xml:space="preserve">2016 </w:t>
      </w:r>
      <w:r w:rsidR="000D04B7">
        <w:t>RACT analysis</w:t>
      </w:r>
      <w:r w:rsidRPr="00EC45CF">
        <w:t xml:space="preserve"> to the reductions in </w:t>
      </w:r>
      <w:r w:rsidR="000D04B7">
        <w:t>our</w:t>
      </w:r>
      <w:r w:rsidR="000D04B7" w:rsidRPr="00EC45CF">
        <w:t xml:space="preserve"> </w:t>
      </w:r>
      <w:r w:rsidRPr="00EC45CF">
        <w:t>initial analysis</w:t>
      </w:r>
      <w:r w:rsidR="000D04B7">
        <w:t xml:space="preserve"> for the RH SIP</w:t>
      </w:r>
      <w:r w:rsidRPr="00EC45CF">
        <w:t xml:space="preserve">. </w:t>
      </w:r>
    </w:p>
    <w:p w14:paraId="0BD9091C" w14:textId="71BC1B1F" w:rsidR="00EC45CF" w:rsidRPr="00EC45CF" w:rsidRDefault="00EC45CF" w:rsidP="00EC45CF">
      <w:pPr>
        <w:pStyle w:val="Paragraph"/>
      </w:pPr>
      <w:r w:rsidRPr="00EC45CF">
        <w:t xml:space="preserve">It is true that although a very small contribution in isolation might not provide a noticeable </w:t>
      </w:r>
      <w:r w:rsidR="000D04B7">
        <w:t>improvement in visibility</w:t>
      </w:r>
      <w:r w:rsidRPr="00EC45CF">
        <w:t>,</w:t>
      </w:r>
      <w:r w:rsidR="00074337">
        <w:t xml:space="preserve"> </w:t>
      </w:r>
      <w:r w:rsidRPr="00EC45CF">
        <w:t xml:space="preserve">if combined with many other small contributions they could potentially add up to a visibility benefit for Class I areas. </w:t>
      </w:r>
    </w:p>
    <w:p w14:paraId="359B4E37" w14:textId="606B61DA" w:rsidR="00EC45CF" w:rsidRPr="00EC45CF" w:rsidRDefault="00EC45CF" w:rsidP="00EC45CF">
      <w:pPr>
        <w:pStyle w:val="Paragraph"/>
      </w:pPr>
      <w:r w:rsidRPr="00EC45CF">
        <w:t xml:space="preserve">Therefore, when considering the EPA Guidance of what “may be necessary,” Ecology considered </w:t>
      </w:r>
      <w:r w:rsidR="00912280">
        <w:t>the facilities both individual</w:t>
      </w:r>
      <w:r w:rsidR="003D1DAD">
        <w:t>ly</w:t>
      </w:r>
      <w:r w:rsidR="00912280">
        <w:t xml:space="preserve"> </w:t>
      </w:r>
      <w:r w:rsidR="003D1DAD">
        <w:t>and</w:t>
      </w:r>
      <w:r w:rsidR="00912280">
        <w:t xml:space="preserve"> all together to determine </w:t>
      </w:r>
      <w:r w:rsidRPr="00EC45CF">
        <w:t>if it could satisfy “reasonable progress” without implementing the potential controls for pulp</w:t>
      </w:r>
      <w:r w:rsidR="00912280">
        <w:t xml:space="preserve"> mills listed in this document. </w:t>
      </w:r>
      <w:r w:rsidRPr="00EC45CF">
        <w:t xml:space="preserve">However, based on a review of the facilities in Ecology’s Q/d analysis, there are only </w:t>
      </w:r>
      <w:r w:rsidR="007D4B2D">
        <w:t>six</w:t>
      </w:r>
      <w:r w:rsidRPr="00EC45CF">
        <w:t xml:space="preserve"> chemical pulp mill facilities currently permitted in Washington State, with one of them in curtailment at the time of this report, so that the sum of the individual effects is small.</w:t>
      </w:r>
    </w:p>
    <w:p w14:paraId="22145F49" w14:textId="462BB12A" w:rsidR="00EC45CF" w:rsidRPr="00EC45CF" w:rsidRDefault="00EC45CF" w:rsidP="00EC45CF">
      <w:pPr>
        <w:pStyle w:val="Paragraph"/>
      </w:pPr>
      <w:r w:rsidRPr="00EC45CF">
        <w:t>Therefore, Ecology concludes that control measures for the pulp mills do not appear necessary</w:t>
      </w:r>
      <w:r w:rsidR="00792484">
        <w:t xml:space="preserve"> to meet the reasonable progress goals during this implementation period</w:t>
      </w:r>
      <w:r w:rsidR="00792484" w:rsidRPr="00EC45CF">
        <w:t xml:space="preserve"> </w:t>
      </w:r>
      <w:r w:rsidRPr="00EC45CF">
        <w:t>and would not provide meaningful visibility improvement but could be both necessary and beneficial during future implementation periods starting in 2028.</w:t>
      </w:r>
      <w:r w:rsidR="00074337">
        <w:t xml:space="preserve"> </w:t>
      </w:r>
      <w:r w:rsidRPr="00EC45CF">
        <w:t>Ecology will reevaluate these sources during the next implementation period.</w:t>
      </w:r>
    </w:p>
    <w:p w14:paraId="071F90ED" w14:textId="77777777" w:rsidR="00BB242F" w:rsidRDefault="00BB242F" w:rsidP="0032043E">
      <w:pPr>
        <w:pStyle w:val="Heading4"/>
        <w:rPr>
          <w:shd w:val="clear" w:color="auto" w:fill="FFFFFF"/>
        </w:rPr>
        <w:sectPr w:rsidR="00BB242F">
          <w:pgSz w:w="12240" w:h="15840"/>
          <w:pgMar w:top="1440" w:right="1440" w:bottom="1440" w:left="1440" w:header="720" w:footer="720" w:gutter="0"/>
          <w:cols w:space="720"/>
          <w:docGrid w:linePitch="360"/>
        </w:sectPr>
      </w:pPr>
      <w:bookmarkStart w:id="142" w:name="_Toc51673393"/>
    </w:p>
    <w:p w14:paraId="254491F8" w14:textId="4F80468E" w:rsidR="00EC45CF" w:rsidRPr="00EC45CF" w:rsidRDefault="00701658" w:rsidP="0032043E">
      <w:pPr>
        <w:pStyle w:val="Heading4"/>
        <w:rPr>
          <w:shd w:val="clear" w:color="auto" w:fill="FFFFFF"/>
        </w:rPr>
      </w:pPr>
      <w:bookmarkStart w:id="143" w:name="_Toc51674424"/>
      <w:r>
        <w:rPr>
          <w:shd w:val="clear" w:color="auto" w:fill="FFFFFF"/>
        </w:rPr>
        <w:lastRenderedPageBreak/>
        <w:t>Discussion</w:t>
      </w:r>
      <w:bookmarkEnd w:id="142"/>
      <w:bookmarkEnd w:id="143"/>
    </w:p>
    <w:p w14:paraId="788E568F" w14:textId="09E9031D" w:rsidR="00EC45CF" w:rsidRPr="00EC45CF" w:rsidRDefault="005B276B" w:rsidP="00EC45CF">
      <w:pPr>
        <w:pStyle w:val="Paragraph"/>
      </w:pPr>
      <w:r>
        <w:t>We</w:t>
      </w:r>
      <w:r w:rsidR="00C13A52">
        <w:t xml:space="preserve"> determined the </w:t>
      </w:r>
      <w:r w:rsidR="00726C67">
        <w:t>reasonableness of potential emission control</w:t>
      </w:r>
      <w:r w:rsidR="001263D9">
        <w:t xml:space="preserve"> option</w:t>
      </w:r>
      <w:r w:rsidR="00726C67">
        <w:t>s as described below.</w:t>
      </w:r>
    </w:p>
    <w:p w14:paraId="079B9CDF" w14:textId="7CE2215B" w:rsidR="00EC45CF" w:rsidRPr="00EC45CF" w:rsidRDefault="00AB2E99" w:rsidP="0032043E">
      <w:pPr>
        <w:pStyle w:val="Heading5"/>
        <w:rPr>
          <w:shd w:val="clear" w:color="auto" w:fill="FFFFFF"/>
        </w:rPr>
      </w:pPr>
      <w:bookmarkStart w:id="144" w:name="_Toc51673394"/>
      <w:bookmarkStart w:id="145" w:name="_Toc51674425"/>
      <w:r>
        <w:rPr>
          <w:shd w:val="clear" w:color="auto" w:fill="FFFFFF"/>
        </w:rPr>
        <w:t xml:space="preserve">First </w:t>
      </w:r>
      <w:r w:rsidR="00CA23F2">
        <w:rPr>
          <w:shd w:val="clear" w:color="auto" w:fill="FFFFFF"/>
        </w:rPr>
        <w:t>o</w:t>
      </w:r>
      <w:r w:rsidR="00EC45CF" w:rsidRPr="00EC45CF">
        <w:rPr>
          <w:shd w:val="clear" w:color="auto" w:fill="FFFFFF"/>
        </w:rPr>
        <w:t>ption</w:t>
      </w:r>
      <w:bookmarkEnd w:id="144"/>
      <w:bookmarkEnd w:id="145"/>
    </w:p>
    <w:p w14:paraId="77DDC04B" w14:textId="0707069E" w:rsidR="00EC45CF" w:rsidRPr="00EC45CF" w:rsidRDefault="00EC45CF" w:rsidP="00EC45CF">
      <w:pPr>
        <w:pStyle w:val="Paragraph"/>
      </w:pPr>
      <w:r w:rsidRPr="00EC45CF">
        <w:t xml:space="preserve">The cost values in </w:t>
      </w:r>
      <w:r w:rsidR="00726C67">
        <w:t>th</w:t>
      </w:r>
      <w:r w:rsidR="00AB2E99">
        <w:t>is</w:t>
      </w:r>
      <w:r w:rsidR="00726C67">
        <w:t xml:space="preserve"> first</w:t>
      </w:r>
      <w:r w:rsidR="00792484">
        <w:t xml:space="preserve"> option are based on a 3.25 percent</w:t>
      </w:r>
      <w:r w:rsidRPr="00EC45CF">
        <w:t xml:space="preserve"> interest rate and 20 years remaining useful life for low-</w:t>
      </w:r>
      <w:r w:rsidR="001E255C">
        <w:t>NO</w:t>
      </w:r>
      <w:r w:rsidR="001E255C" w:rsidRPr="001E255C">
        <w:rPr>
          <w:vertAlign w:val="subscript"/>
        </w:rPr>
        <w:t>X</w:t>
      </w:r>
      <w:r w:rsidRPr="00EC45CF">
        <w:t xml:space="preserve"> burners, SNCRs, wet scrubbers, and ESPs (wet and dry), and 25 year remaining useful life for SCRs.</w:t>
      </w:r>
    </w:p>
    <w:p w14:paraId="2051910A" w14:textId="33D07ED4" w:rsidR="00EC45CF" w:rsidRPr="00EC45CF" w:rsidRDefault="00EC45CF" w:rsidP="00280BCE">
      <w:pPr>
        <w:pStyle w:val="BulletedList"/>
        <w:rPr>
          <w:shd w:val="clear" w:color="auto" w:fill="FFFFFF"/>
        </w:rPr>
      </w:pPr>
      <w:r w:rsidRPr="00EC45CF">
        <w:rPr>
          <w:shd w:val="clear" w:color="auto" w:fill="FFFFFF"/>
        </w:rPr>
        <w:t xml:space="preserve">The mills provided a </w:t>
      </w:r>
      <w:r w:rsidR="00792484">
        <w:rPr>
          <w:shd w:val="clear" w:color="auto" w:fill="FFFFFF"/>
        </w:rPr>
        <w:t>recent cost/ton value for a low-</w:t>
      </w:r>
      <w:r w:rsidR="001E255C">
        <w:t>NO</w:t>
      </w:r>
      <w:r w:rsidR="001E255C" w:rsidRPr="001E255C">
        <w:rPr>
          <w:vertAlign w:val="subscript"/>
        </w:rPr>
        <w:t>X</w:t>
      </w:r>
      <w:r w:rsidRPr="00EC45CF">
        <w:rPr>
          <w:shd w:val="clear" w:color="auto" w:fill="FFFFFF"/>
        </w:rPr>
        <w:t xml:space="preserve"> burner installed in Dec 2018</w:t>
      </w:r>
      <w:r w:rsidR="005B276B">
        <w:rPr>
          <w:shd w:val="clear" w:color="auto" w:fill="FFFFFF"/>
        </w:rPr>
        <w:t>.</w:t>
      </w:r>
      <w:r w:rsidR="00792484">
        <w:rPr>
          <w:shd w:val="clear" w:color="auto" w:fill="FFFFFF"/>
        </w:rPr>
        <w:t xml:space="preserve"> </w:t>
      </w:r>
      <w:r w:rsidR="005B276B">
        <w:rPr>
          <w:shd w:val="clear" w:color="auto" w:fill="FFFFFF"/>
        </w:rPr>
        <w:t>W</w:t>
      </w:r>
      <w:r w:rsidRPr="00EC45CF">
        <w:rPr>
          <w:shd w:val="clear" w:color="auto" w:fill="FFFFFF"/>
        </w:rPr>
        <w:t xml:space="preserve">e </w:t>
      </w:r>
      <w:r w:rsidR="005B276B">
        <w:rPr>
          <w:shd w:val="clear" w:color="auto" w:fill="FFFFFF"/>
        </w:rPr>
        <w:t>determined it</w:t>
      </w:r>
      <w:r w:rsidRPr="00EC45CF">
        <w:rPr>
          <w:shd w:val="clear" w:color="auto" w:fill="FFFFFF"/>
        </w:rPr>
        <w:t xml:space="preserve"> is reasonable to use </w:t>
      </w:r>
      <w:r w:rsidR="005B276B">
        <w:rPr>
          <w:shd w:val="clear" w:color="auto" w:fill="FFFFFF"/>
        </w:rPr>
        <w:t xml:space="preserve">this information </w:t>
      </w:r>
      <w:r w:rsidRPr="00EC45CF">
        <w:rPr>
          <w:shd w:val="clear" w:color="auto" w:fill="FFFFFF"/>
        </w:rPr>
        <w:t xml:space="preserve">as a reference for the other </w:t>
      </w:r>
      <w:r w:rsidR="0019053A">
        <w:rPr>
          <w:shd w:val="clear" w:color="auto" w:fill="FFFFFF"/>
        </w:rPr>
        <w:t>low-NOx</w:t>
      </w:r>
      <w:r w:rsidRPr="00EC45CF">
        <w:rPr>
          <w:shd w:val="clear" w:color="auto" w:fill="FFFFFF"/>
        </w:rPr>
        <w:t xml:space="preserve"> burner units for the reduction of </w:t>
      </w:r>
      <w:r w:rsidR="001E255C">
        <w:t>NO</w:t>
      </w:r>
      <w:r w:rsidR="001E255C" w:rsidRPr="001E255C">
        <w:rPr>
          <w:vertAlign w:val="subscript"/>
        </w:rPr>
        <w:t>X</w:t>
      </w:r>
      <w:r w:rsidRPr="00EC45CF">
        <w:rPr>
          <w:shd w:val="clear" w:color="auto" w:fill="FFFFFF"/>
        </w:rPr>
        <w:t>. We assume cost/ton values below this amount are reasonable because they are less than “costs already incurred by similar sources.</w:t>
      </w:r>
      <w:r w:rsidR="005B276B" w:rsidRPr="00EC45CF">
        <w:rPr>
          <w:shd w:val="clear" w:color="auto" w:fill="FFFFFF"/>
        </w:rPr>
        <w:t>”</w:t>
      </w:r>
      <w:r w:rsidRPr="00EC45CF">
        <w:rPr>
          <w:shd w:val="clear" w:color="auto" w:fill="FFFFFF"/>
        </w:rPr>
        <w:t xml:space="preserve"> This is from natural gas boiler#6: WestRock Tacoma.</w:t>
      </w:r>
    </w:p>
    <w:p w14:paraId="7435FC34" w14:textId="66AB0F79" w:rsidR="00EC45CF" w:rsidRPr="00EC45CF" w:rsidRDefault="00EC45CF" w:rsidP="00280BCE">
      <w:pPr>
        <w:pStyle w:val="BulletedList"/>
        <w:rPr>
          <w:shd w:val="clear" w:color="auto" w:fill="FFFFFF"/>
        </w:rPr>
      </w:pPr>
      <w:r w:rsidRPr="00EC45CF">
        <w:rPr>
          <w:shd w:val="clear" w:color="auto" w:fill="FFFFFF"/>
        </w:rPr>
        <w:t xml:space="preserve">The mills provided a recent cost/ton value for an SNCR installed in 2012, which we can assume is reasonable to use as a reference for the other SNCR, as well as SCR, units for the reduction of </w:t>
      </w:r>
      <w:r w:rsidR="001E255C">
        <w:t>NO</w:t>
      </w:r>
      <w:r w:rsidR="001E255C" w:rsidRPr="001E255C">
        <w:rPr>
          <w:vertAlign w:val="subscript"/>
        </w:rPr>
        <w:t>X</w:t>
      </w:r>
      <w:r w:rsidRPr="00EC45CF">
        <w:rPr>
          <w:shd w:val="clear" w:color="auto" w:fill="FFFFFF"/>
        </w:rPr>
        <w:t>. We assume cost/ton values below this amount are reasonable because they are less than “costs already incurred by similar sources.” This is from power boiler#20: WestRock Longview.</w:t>
      </w:r>
    </w:p>
    <w:p w14:paraId="56195358" w14:textId="54674532" w:rsidR="00EC45CF" w:rsidRPr="00EC45CF" w:rsidRDefault="00EC45CF" w:rsidP="00280BCE">
      <w:pPr>
        <w:pStyle w:val="BulletedList"/>
        <w:rPr>
          <w:shd w:val="clear" w:color="auto" w:fill="FFFFFF"/>
        </w:rPr>
      </w:pPr>
      <w:r w:rsidRPr="00EC45CF">
        <w:rPr>
          <w:shd w:val="clear" w:color="auto" w:fill="FFFFFF"/>
        </w:rPr>
        <w:t>The mills provided a recent cost/ton value for WESP, which (after applying the RACT adjustment factor explained above) we assume is reasonable to use as a reference for the other similar units for reduction of PM. We assume cost/ton values below this amount are reasonable because they are less than “costs already incurred by similar sources.” This is from boiler #10: Port Townsend Paper Corporation (PTPC).</w:t>
      </w:r>
    </w:p>
    <w:p w14:paraId="249F4BEF" w14:textId="0F97C672" w:rsidR="00EC45CF" w:rsidRPr="00EC45CF" w:rsidRDefault="00EC45CF" w:rsidP="00280BCE">
      <w:pPr>
        <w:pStyle w:val="BulletedList"/>
        <w:rPr>
          <w:shd w:val="clear" w:color="auto" w:fill="FFFFFF"/>
        </w:rPr>
      </w:pPr>
      <w:r w:rsidRPr="00EC45CF">
        <w:rPr>
          <w:shd w:val="clear" w:color="auto" w:fill="FFFFFF"/>
        </w:rPr>
        <w:t>The low</w:t>
      </w:r>
      <w:r w:rsidR="0019053A">
        <w:rPr>
          <w:shd w:val="clear" w:color="auto" w:fill="FFFFFF"/>
        </w:rPr>
        <w:t>-</w:t>
      </w:r>
      <w:r w:rsidR="001E255C">
        <w:t>NO</w:t>
      </w:r>
      <w:r w:rsidR="001E255C" w:rsidRPr="001E255C">
        <w:rPr>
          <w:vertAlign w:val="subscript"/>
        </w:rPr>
        <w:t>X</w:t>
      </w:r>
      <w:r w:rsidRPr="00EC45CF">
        <w:rPr>
          <w:shd w:val="clear" w:color="auto" w:fill="FFFFFF"/>
        </w:rPr>
        <w:t xml:space="preserve"> burner cost reference of $6,300/ton, the SNCR cost reference of $6,250/ton, and the RACT adjusted WESP cost reference of $7,800/ton are all within the range of other WRAP states (at least in preliminary discussions during early 2020; final values may vary). They also satisfy EPA’s comment that $5,000/ton is probably too low</w:t>
      </w:r>
      <w:r w:rsidRPr="00EC45CF">
        <w:rPr>
          <w:shd w:val="clear" w:color="auto" w:fill="FFFFFF"/>
          <w:vertAlign w:val="superscript"/>
        </w:rPr>
        <w:footnoteReference w:id="21"/>
      </w:r>
      <w:r w:rsidRPr="00EC45CF">
        <w:rPr>
          <w:shd w:val="clear" w:color="auto" w:fill="FFFFFF"/>
        </w:rPr>
        <w:t>, by providing updated actual cost incurred values</w:t>
      </w:r>
      <w:r w:rsidR="001E1826">
        <w:rPr>
          <w:shd w:val="clear" w:color="auto" w:fill="FFFFFF"/>
        </w:rPr>
        <w:t>.</w:t>
      </w:r>
    </w:p>
    <w:p w14:paraId="02DD6ED3" w14:textId="78AA9489" w:rsidR="00EC45CF" w:rsidRPr="00EC45CF" w:rsidRDefault="002933A4" w:rsidP="00280BCE">
      <w:pPr>
        <w:pStyle w:val="BulletedList"/>
        <w:rPr>
          <w:shd w:val="clear" w:color="auto" w:fill="FFFFFF"/>
        </w:rPr>
      </w:pPr>
      <w:r>
        <w:rPr>
          <w:shd w:val="clear" w:color="auto" w:fill="FFFFFF"/>
        </w:rPr>
        <w:t>T</w:t>
      </w:r>
      <w:r w:rsidR="00EC45CF" w:rsidRPr="00EC45CF">
        <w:rPr>
          <w:shd w:val="clear" w:color="auto" w:fill="FFFFFF"/>
        </w:rPr>
        <w:t xml:space="preserve">he 2016 RACT </w:t>
      </w:r>
      <w:r>
        <w:rPr>
          <w:shd w:val="clear" w:color="auto" w:fill="FFFFFF"/>
        </w:rPr>
        <w:t xml:space="preserve">modeling indicated </w:t>
      </w:r>
      <w:r w:rsidR="00EC45CF" w:rsidRPr="00EC45CF">
        <w:rPr>
          <w:shd w:val="clear" w:color="auto" w:fill="FFFFFF"/>
        </w:rPr>
        <w:t xml:space="preserve">that the controls considered in this analysis will not result in perceptible visibility improvement towards </w:t>
      </w:r>
      <w:r w:rsidR="00374B5D">
        <w:rPr>
          <w:shd w:val="clear" w:color="auto" w:fill="FFFFFF"/>
        </w:rPr>
        <w:t>the reasonable progress goals</w:t>
      </w:r>
      <w:r w:rsidR="00EC45CF" w:rsidRPr="00EC45CF">
        <w:rPr>
          <w:shd w:val="clear" w:color="auto" w:fill="FFFFFF"/>
        </w:rPr>
        <w:t>.</w:t>
      </w:r>
    </w:p>
    <w:p w14:paraId="03F1510C" w14:textId="185E5C8C" w:rsidR="00EC45CF" w:rsidRPr="00EC45CF" w:rsidRDefault="00AB2E99" w:rsidP="0032043E">
      <w:pPr>
        <w:pStyle w:val="Heading5"/>
        <w:rPr>
          <w:shd w:val="clear" w:color="auto" w:fill="FFFFFF"/>
        </w:rPr>
      </w:pPr>
      <w:bookmarkStart w:id="146" w:name="_Toc51673395"/>
      <w:bookmarkStart w:id="147" w:name="_Toc51674426"/>
      <w:r>
        <w:rPr>
          <w:shd w:val="clear" w:color="auto" w:fill="FFFFFF"/>
        </w:rPr>
        <w:t xml:space="preserve">Second </w:t>
      </w:r>
      <w:r w:rsidR="00374B5D">
        <w:rPr>
          <w:shd w:val="clear" w:color="auto" w:fill="FFFFFF"/>
        </w:rPr>
        <w:t>o</w:t>
      </w:r>
      <w:r w:rsidR="00EC45CF" w:rsidRPr="00EC45CF">
        <w:rPr>
          <w:shd w:val="clear" w:color="auto" w:fill="FFFFFF"/>
        </w:rPr>
        <w:t>ption</w:t>
      </w:r>
      <w:bookmarkEnd w:id="146"/>
      <w:bookmarkEnd w:id="147"/>
    </w:p>
    <w:p w14:paraId="755BD0A8" w14:textId="7883247C" w:rsidR="00EC45CF" w:rsidRPr="00EC45CF" w:rsidRDefault="00C46C82" w:rsidP="00275643">
      <w:pPr>
        <w:pStyle w:val="Paragraph"/>
      </w:pPr>
      <w:r>
        <w:t>This approach is b</w:t>
      </w:r>
      <w:r w:rsidR="00EC45CF" w:rsidRPr="00EC45CF">
        <w:t>ased on previous generic Ecology cost calculations (but without input from the mills)</w:t>
      </w:r>
      <w:r>
        <w:t xml:space="preserve"> and</w:t>
      </w:r>
      <w:r w:rsidR="00E02730">
        <w:t xml:space="preserve"> </w:t>
      </w:r>
      <w:r w:rsidRPr="00EC45CF">
        <w:t>provides a general snapshot of controls to consider.</w:t>
      </w:r>
      <w:r w:rsidR="00275643">
        <w:t xml:space="preserve"> It</w:t>
      </w:r>
      <w:r w:rsidR="00EC45CF" w:rsidRPr="00EC45CF">
        <w:t xml:space="preserve"> shows cost effectiveness for multiple pulp mill combustion units.</w:t>
      </w:r>
    </w:p>
    <w:p w14:paraId="3E6B4E03" w14:textId="50377ACA" w:rsidR="00EC45CF" w:rsidRPr="00EC45CF" w:rsidRDefault="00EC45CF" w:rsidP="001F6E4D">
      <w:pPr>
        <w:pStyle w:val="BulletedList"/>
        <w:rPr>
          <w:shd w:val="clear" w:color="auto" w:fill="FFFFFF"/>
        </w:rPr>
      </w:pPr>
      <w:r w:rsidRPr="001F6E4D">
        <w:lastRenderedPageBreak/>
        <w:t>This</w:t>
      </w:r>
      <w:r w:rsidRPr="00EC45CF">
        <w:rPr>
          <w:shd w:val="clear" w:color="auto" w:fill="FFFFFF"/>
        </w:rPr>
        <w:t xml:space="preserve"> approach does not take into account the </w:t>
      </w:r>
      <w:r w:rsidRPr="00EC45CF" w:rsidDel="00B91950">
        <w:rPr>
          <w:shd w:val="clear" w:color="auto" w:fill="FFFFFF"/>
        </w:rPr>
        <w:t>site</w:t>
      </w:r>
      <w:r w:rsidR="00B91950" w:rsidRPr="00EC45CF">
        <w:rPr>
          <w:shd w:val="clear" w:color="auto" w:fill="FFFFFF"/>
        </w:rPr>
        <w:t>-specific</w:t>
      </w:r>
      <w:r w:rsidRPr="00EC45CF">
        <w:rPr>
          <w:shd w:val="clear" w:color="auto" w:fill="FFFFFF"/>
        </w:rPr>
        <w:t xml:space="preserve"> information we requested from the mills, and is therefore less accurate and harder to </w:t>
      </w:r>
      <w:r w:rsidR="00522DD1">
        <w:rPr>
          <w:shd w:val="clear" w:color="auto" w:fill="FFFFFF"/>
        </w:rPr>
        <w:t>reconcile</w:t>
      </w:r>
      <w:r w:rsidRPr="00EC45CF">
        <w:rPr>
          <w:shd w:val="clear" w:color="auto" w:fill="FFFFFF"/>
        </w:rPr>
        <w:t xml:space="preserve">. According to page 32 of EPA’s August 2019 </w:t>
      </w:r>
      <w:r w:rsidR="00C67AFF">
        <w:rPr>
          <w:shd w:val="clear" w:color="auto" w:fill="FFFFFF"/>
        </w:rPr>
        <w:t>RH</w:t>
      </w:r>
      <w:r w:rsidRPr="00EC45CF">
        <w:rPr>
          <w:shd w:val="clear" w:color="auto" w:fill="FFFFFF"/>
        </w:rPr>
        <w:t xml:space="preserve"> guidance document: “We recommend that states exercise caution before accepting or rejecting controls based on generic cost estimates if adequately documented source-specific estimates are available or can be prepared.” </w:t>
      </w:r>
    </w:p>
    <w:p w14:paraId="359CA301" w14:textId="77777777" w:rsidR="00EC45CF" w:rsidRPr="00EC45CF" w:rsidRDefault="00EC45CF" w:rsidP="00280BCE">
      <w:pPr>
        <w:pStyle w:val="BulletedList"/>
        <w:rPr>
          <w:shd w:val="clear" w:color="auto" w:fill="FFFFFF"/>
        </w:rPr>
      </w:pPr>
      <w:r w:rsidRPr="00EC45CF">
        <w:rPr>
          <w:shd w:val="clear" w:color="auto" w:fill="FFFFFF"/>
        </w:rPr>
        <w:t>This approach assumes SCRs can be applied to recovery furnaces, but SCRs have not been demonstrated for recovery furnaces in the United States or elsewhere. At best, it is only a “theoretical study</w:t>
      </w:r>
      <w:r w:rsidRPr="00EC45CF">
        <w:rPr>
          <w:shd w:val="clear" w:color="auto" w:fill="FFFFFF"/>
          <w:vertAlign w:val="superscript"/>
        </w:rPr>
        <w:footnoteReference w:id="22"/>
      </w:r>
      <w:r w:rsidRPr="00EC45CF">
        <w:rPr>
          <w:shd w:val="clear" w:color="auto" w:fill="FFFFFF"/>
        </w:rPr>
        <w:t>” to consider SCR for recovery furnaces (boilers).</w:t>
      </w:r>
    </w:p>
    <w:p w14:paraId="55263601" w14:textId="30E65CFF" w:rsidR="00EC45CF" w:rsidRPr="00EC45CF" w:rsidRDefault="00307D8B" w:rsidP="0032043E">
      <w:pPr>
        <w:pStyle w:val="Heading5"/>
        <w:rPr>
          <w:shd w:val="clear" w:color="auto" w:fill="FFFFFF"/>
        </w:rPr>
      </w:pPr>
      <w:bookmarkStart w:id="148" w:name="_Toc51673396"/>
      <w:bookmarkStart w:id="149" w:name="_Toc51674427"/>
      <w:r>
        <w:rPr>
          <w:shd w:val="clear" w:color="auto" w:fill="FFFFFF"/>
        </w:rPr>
        <w:t xml:space="preserve">Third </w:t>
      </w:r>
      <w:r w:rsidR="00374B5D">
        <w:rPr>
          <w:shd w:val="clear" w:color="auto" w:fill="FFFFFF"/>
        </w:rPr>
        <w:t>o</w:t>
      </w:r>
      <w:r w:rsidR="00EC45CF" w:rsidRPr="00EC45CF">
        <w:rPr>
          <w:shd w:val="clear" w:color="auto" w:fill="FFFFFF"/>
        </w:rPr>
        <w:t>ption</w:t>
      </w:r>
      <w:bookmarkEnd w:id="148"/>
      <w:bookmarkEnd w:id="149"/>
    </w:p>
    <w:p w14:paraId="35F299A2" w14:textId="402618E3" w:rsidR="00EC45CF" w:rsidRPr="00EC45CF" w:rsidRDefault="00EC45CF" w:rsidP="00EC45CF">
      <w:pPr>
        <w:pStyle w:val="Paragraph"/>
      </w:pPr>
      <w:r w:rsidRPr="00EC45CF">
        <w:t xml:space="preserve">This approach takes the cost values </w:t>
      </w:r>
      <w:r w:rsidR="00CB6863">
        <w:t>from the first option (</w:t>
      </w:r>
      <w:r w:rsidR="00CB6863" w:rsidRPr="00EC45CF">
        <w:t>a 3.25% interest rate and 20 years remaining useful life for low-</w:t>
      </w:r>
      <w:r w:rsidR="00CB6863">
        <w:t>NO</w:t>
      </w:r>
      <w:r w:rsidR="00CB6863" w:rsidRPr="001E255C">
        <w:rPr>
          <w:vertAlign w:val="subscript"/>
        </w:rPr>
        <w:t>X</w:t>
      </w:r>
      <w:r w:rsidR="00CB6863" w:rsidRPr="00EC45CF">
        <w:t xml:space="preserve"> burners, SNCRs, wet scrubbers, and ESPs (wet and dry), and 25 year remaining useful life for SCRs.</w:t>
      </w:r>
      <w:r w:rsidR="00CB6863">
        <w:t>)</w:t>
      </w:r>
      <w:r w:rsidRPr="00EC45CF">
        <w:t xml:space="preserve">, </w:t>
      </w:r>
      <w:r w:rsidR="009D2F52">
        <w:t>and</w:t>
      </w:r>
      <w:r w:rsidRPr="00EC45CF">
        <w:t xml:space="preserve"> applies them to specific control units via </w:t>
      </w:r>
      <w:r w:rsidR="004C6337" w:rsidRPr="00EC45CF">
        <w:t>statewide</w:t>
      </w:r>
      <w:r w:rsidRPr="00EC45CF">
        <w:t xml:space="preserve"> rules. The goal</w:t>
      </w:r>
      <w:r w:rsidR="009D2F52">
        <w:t xml:space="preserve"> would</w:t>
      </w:r>
      <w:r w:rsidRPr="00EC45CF">
        <w:t xml:space="preserve"> be to get “more bang for the buck.” We could use rules</w:t>
      </w:r>
      <w:r w:rsidR="009E7E5A">
        <w:t>,</w:t>
      </w:r>
      <w:r w:rsidRPr="00EC45CF">
        <w:t xml:space="preserve"> </w:t>
      </w:r>
      <w:r w:rsidR="009D2F52" w:rsidRPr="00EC45CF">
        <w:t xml:space="preserve">for example </w:t>
      </w:r>
      <w:r w:rsidR="009E7E5A">
        <w:t xml:space="preserve">a </w:t>
      </w:r>
      <w:r w:rsidR="009E7E5A" w:rsidRPr="00EC45CF">
        <w:t xml:space="preserve">statewide </w:t>
      </w:r>
      <w:r w:rsidR="009E7E5A">
        <w:t>low-NO</w:t>
      </w:r>
      <w:r w:rsidR="009E7E5A" w:rsidRPr="009D2F52">
        <w:rPr>
          <w:vertAlign w:val="subscript"/>
        </w:rPr>
        <w:t>x</w:t>
      </w:r>
      <w:r w:rsidR="009E7E5A" w:rsidRPr="00EC45CF">
        <w:t xml:space="preserve"> burner rule,</w:t>
      </w:r>
      <w:r w:rsidRPr="00EC45CF">
        <w:t>to</w:t>
      </w:r>
      <w:r w:rsidR="0015514E">
        <w:t xml:space="preserve"> focus on visibility effects</w:t>
      </w:r>
      <w:r w:rsidRPr="00EC45CF">
        <w:t>.</w:t>
      </w:r>
    </w:p>
    <w:p w14:paraId="1623EC60" w14:textId="2DAA94F4" w:rsidR="00EC45CF" w:rsidRPr="00EC45CF" w:rsidRDefault="00CB6863" w:rsidP="00280BCE">
      <w:pPr>
        <w:pStyle w:val="BulletedList"/>
        <w:rPr>
          <w:shd w:val="clear" w:color="auto" w:fill="FFFFFF"/>
        </w:rPr>
      </w:pPr>
      <w:r>
        <w:rPr>
          <w:shd w:val="clear" w:color="auto" w:fill="FFFFFF"/>
        </w:rPr>
        <w:t>Factors considered</w:t>
      </w:r>
      <w:r w:rsidR="00307D8B">
        <w:rPr>
          <w:shd w:val="clear" w:color="auto" w:fill="FFFFFF"/>
        </w:rPr>
        <w:t xml:space="preserve"> for t</w:t>
      </w:r>
      <w:r w:rsidR="00EC45CF" w:rsidRPr="00EC45CF">
        <w:rPr>
          <w:shd w:val="clear" w:color="auto" w:fill="FFFFFF"/>
        </w:rPr>
        <w:t xml:space="preserve">his approach would </w:t>
      </w:r>
      <w:r w:rsidR="009E7E5A">
        <w:rPr>
          <w:shd w:val="clear" w:color="auto" w:fill="FFFFFF"/>
        </w:rPr>
        <w:t>include</w:t>
      </w:r>
      <w:r w:rsidR="00EC45CF" w:rsidRPr="00EC45CF">
        <w:rPr>
          <w:shd w:val="clear" w:color="auto" w:fill="FFFFFF"/>
        </w:rPr>
        <w:t xml:space="preserve"> units outside of </w:t>
      </w:r>
      <w:r w:rsidR="009E7E5A" w:rsidRPr="009E7E5A">
        <w:rPr>
          <w:shd w:val="clear" w:color="auto" w:fill="FFFFFF"/>
        </w:rPr>
        <w:t>the pulp &amp; paper industry</w:t>
      </w:r>
      <w:r w:rsidR="009E7E5A" w:rsidRPr="009E7E5A" w:rsidDel="009E7E5A">
        <w:rPr>
          <w:shd w:val="clear" w:color="auto" w:fill="FFFFFF"/>
        </w:rPr>
        <w:t xml:space="preserve"> </w:t>
      </w:r>
      <w:r w:rsidR="00EC45CF" w:rsidRPr="00EC45CF">
        <w:rPr>
          <w:shd w:val="clear" w:color="auto" w:fill="FFFFFF"/>
        </w:rPr>
        <w:t xml:space="preserve">and provide increased pollutant reduction </w:t>
      </w:r>
      <w:r w:rsidR="004C6337" w:rsidRPr="00EC45CF">
        <w:rPr>
          <w:shd w:val="clear" w:color="auto" w:fill="FFFFFF"/>
        </w:rPr>
        <w:t>statewide</w:t>
      </w:r>
      <w:r w:rsidR="009E7E5A">
        <w:rPr>
          <w:shd w:val="clear" w:color="auto" w:fill="FFFFFF"/>
        </w:rPr>
        <w:t>.</w:t>
      </w:r>
      <w:r w:rsidR="00EC45CF" w:rsidRPr="00EC45CF">
        <w:rPr>
          <w:shd w:val="clear" w:color="auto" w:fill="FFFFFF"/>
        </w:rPr>
        <w:t xml:space="preserve">. </w:t>
      </w:r>
    </w:p>
    <w:p w14:paraId="7B2FD63E" w14:textId="6EDECF7C" w:rsidR="00EC45CF" w:rsidRPr="00EC45CF" w:rsidRDefault="0015514E" w:rsidP="00280BCE">
      <w:pPr>
        <w:pStyle w:val="BulletedList"/>
        <w:rPr>
          <w:shd w:val="clear" w:color="auto" w:fill="FFFFFF"/>
        </w:rPr>
      </w:pPr>
      <w:r>
        <w:rPr>
          <w:shd w:val="clear" w:color="auto" w:fill="FFFFFF"/>
        </w:rPr>
        <w:t>This approach focuses on</w:t>
      </w:r>
      <w:r w:rsidR="00EC45CF" w:rsidRPr="00EC45CF">
        <w:rPr>
          <w:shd w:val="clear" w:color="auto" w:fill="FFFFFF"/>
        </w:rPr>
        <w:t xml:space="preserve"> </w:t>
      </w:r>
      <w:r w:rsidR="00C67AFF">
        <w:rPr>
          <w:shd w:val="clear" w:color="auto" w:fill="FFFFFF"/>
        </w:rPr>
        <w:t>RH</w:t>
      </w:r>
      <w:r w:rsidR="00EC45CF" w:rsidRPr="00EC45CF">
        <w:rPr>
          <w:shd w:val="clear" w:color="auto" w:fill="FFFFFF"/>
        </w:rPr>
        <w:t xml:space="preserve"> pollutants like </w:t>
      </w:r>
      <w:r w:rsidR="001E255C">
        <w:t>NO</w:t>
      </w:r>
      <w:r w:rsidR="001E255C" w:rsidRPr="001E255C">
        <w:rPr>
          <w:vertAlign w:val="subscript"/>
        </w:rPr>
        <w:t>X</w:t>
      </w:r>
      <w:r>
        <w:rPr>
          <w:shd w:val="clear" w:color="auto" w:fill="FFFFFF"/>
        </w:rPr>
        <w:t xml:space="preserve"> and less on </w:t>
      </w:r>
      <w:r w:rsidRPr="0015514E">
        <w:rPr>
          <w:shd w:val="clear" w:color="auto" w:fill="FFFFFF"/>
        </w:rPr>
        <w:t>PM</w:t>
      </w:r>
      <w:r w:rsidRPr="0015514E">
        <w:rPr>
          <w:shd w:val="clear" w:color="auto" w:fill="FFFFFF"/>
          <w:vertAlign w:val="subscript"/>
        </w:rPr>
        <w:t>10</w:t>
      </w:r>
      <w:r w:rsidR="00EC45CF" w:rsidRPr="00EC45CF">
        <w:rPr>
          <w:shd w:val="clear" w:color="auto" w:fill="FFFFFF"/>
          <w:vertAlign w:val="superscript"/>
        </w:rPr>
        <w:footnoteReference w:id="23"/>
      </w:r>
      <w:r w:rsidR="00EC45CF" w:rsidRPr="00EC45CF">
        <w:rPr>
          <w:shd w:val="clear" w:color="auto" w:fill="FFFFFF"/>
        </w:rPr>
        <w:t>.</w:t>
      </w:r>
    </w:p>
    <w:p w14:paraId="7620AA00" w14:textId="378F6EAA" w:rsidR="00EC45CF" w:rsidRPr="00074337" w:rsidRDefault="00EC45CF" w:rsidP="00074337">
      <w:pPr>
        <w:pStyle w:val="BulletedList"/>
      </w:pPr>
      <w:r w:rsidRPr="00074337">
        <w:t xml:space="preserve">This approach would be more time-consuming than just focusing on controls for pulp mills via the RACT process or voluntary </w:t>
      </w:r>
      <w:r w:rsidR="007B6998">
        <w:t>AOs</w:t>
      </w:r>
      <w:r w:rsidRPr="00074337">
        <w:t>. It would involve many more stakeholders.</w:t>
      </w:r>
    </w:p>
    <w:p w14:paraId="5E26B1B7" w14:textId="111EF29F" w:rsidR="00EC45CF" w:rsidRPr="00EC45CF" w:rsidRDefault="00EC45CF" w:rsidP="00280BCE">
      <w:pPr>
        <w:pStyle w:val="BulletedList"/>
        <w:rPr>
          <w:shd w:val="clear" w:color="auto" w:fill="FFFFFF"/>
        </w:rPr>
      </w:pPr>
      <w:r w:rsidRPr="00EC45CF">
        <w:rPr>
          <w:shd w:val="clear" w:color="auto" w:fill="FFFFFF"/>
        </w:rPr>
        <w:t xml:space="preserve">This approach might not be feasible based on Ecology staff resources at this time, and is beyond the scope of Q/d industries identified for this </w:t>
      </w:r>
      <w:r w:rsidR="00C67AFF">
        <w:rPr>
          <w:shd w:val="clear" w:color="auto" w:fill="FFFFFF"/>
        </w:rPr>
        <w:t>RH</w:t>
      </w:r>
      <w:r w:rsidRPr="00EC45CF">
        <w:rPr>
          <w:shd w:val="clear" w:color="auto" w:fill="FFFFFF"/>
        </w:rPr>
        <w:t xml:space="preserve"> period.</w:t>
      </w:r>
    </w:p>
    <w:p w14:paraId="03EF4BA1" w14:textId="1D0D68A5" w:rsidR="00EC45CF" w:rsidRPr="00C46C82" w:rsidRDefault="00004203" w:rsidP="00C46C82">
      <w:pPr>
        <w:pStyle w:val="Heading5"/>
        <w:rPr>
          <w:shd w:val="clear" w:color="auto" w:fill="FFFFFF"/>
        </w:rPr>
      </w:pPr>
      <w:bookmarkStart w:id="150" w:name="_Toc51673397"/>
      <w:bookmarkStart w:id="151" w:name="_Toc51674428"/>
      <w:r>
        <w:rPr>
          <w:shd w:val="clear" w:color="auto" w:fill="FFFFFF"/>
        </w:rPr>
        <w:t>Four</w:t>
      </w:r>
      <w:r w:rsidR="001F6E4D">
        <w:rPr>
          <w:shd w:val="clear" w:color="auto" w:fill="FFFFFF"/>
        </w:rPr>
        <w:t>th o</w:t>
      </w:r>
      <w:r>
        <w:rPr>
          <w:shd w:val="clear" w:color="auto" w:fill="FFFFFF"/>
        </w:rPr>
        <w:t>ption (</w:t>
      </w:r>
      <w:r w:rsidR="001F6E4D">
        <w:rPr>
          <w:shd w:val="clear" w:color="auto" w:fill="FFFFFF"/>
        </w:rPr>
        <w:t>n</w:t>
      </w:r>
      <w:r w:rsidR="00C46C82">
        <w:rPr>
          <w:shd w:val="clear" w:color="auto" w:fill="FFFFFF"/>
        </w:rPr>
        <w:t>o action</w:t>
      </w:r>
      <w:r>
        <w:rPr>
          <w:shd w:val="clear" w:color="auto" w:fill="FFFFFF"/>
        </w:rPr>
        <w:t>)</w:t>
      </w:r>
      <w:bookmarkEnd w:id="150"/>
      <w:bookmarkEnd w:id="151"/>
    </w:p>
    <w:p w14:paraId="27AF022D" w14:textId="69988BDF" w:rsidR="00EC45CF" w:rsidRPr="00EC45CF" w:rsidRDefault="00CB6863" w:rsidP="00280BCE">
      <w:pPr>
        <w:pStyle w:val="BulletedList"/>
        <w:rPr>
          <w:shd w:val="clear" w:color="auto" w:fill="FFFFFF"/>
        </w:rPr>
      </w:pPr>
      <w:r>
        <w:rPr>
          <w:shd w:val="clear" w:color="auto" w:fill="FFFFFF"/>
        </w:rPr>
        <w:t>Factors considered</w:t>
      </w:r>
      <w:r w:rsidR="00901AC9">
        <w:rPr>
          <w:shd w:val="clear" w:color="auto" w:fill="FFFFFF"/>
        </w:rPr>
        <w:t xml:space="preserve"> for t</w:t>
      </w:r>
      <w:r w:rsidR="00EC45CF" w:rsidRPr="00EC45CF">
        <w:rPr>
          <w:shd w:val="clear" w:color="auto" w:fill="FFFFFF"/>
        </w:rPr>
        <w:t xml:space="preserve">his approach </w:t>
      </w:r>
      <w:r w:rsidR="00901AC9">
        <w:rPr>
          <w:shd w:val="clear" w:color="auto" w:fill="FFFFFF"/>
        </w:rPr>
        <w:t>are</w:t>
      </w:r>
      <w:r w:rsidR="00EC45CF" w:rsidRPr="00EC45CF">
        <w:rPr>
          <w:shd w:val="clear" w:color="auto" w:fill="FFFFFF"/>
        </w:rPr>
        <w:t xml:space="preserve"> based on the 2016 Ecology RACT analysis that showed </w:t>
      </w:r>
      <w:r w:rsidR="00F55459" w:rsidRPr="00EC45CF">
        <w:rPr>
          <w:shd w:val="clear" w:color="auto" w:fill="FFFFFF"/>
        </w:rPr>
        <w:t>minimal</w:t>
      </w:r>
      <w:r w:rsidR="00EC45CF" w:rsidRPr="00EC45CF">
        <w:rPr>
          <w:shd w:val="clear" w:color="auto" w:fill="FFFFFF"/>
        </w:rPr>
        <w:t xml:space="preserve"> deciview or inverse megameters, Mm-1, (visibility) benefit even if </w:t>
      </w:r>
      <w:r w:rsidR="00F55459">
        <w:rPr>
          <w:shd w:val="clear" w:color="auto" w:fill="FFFFFF"/>
        </w:rPr>
        <w:t xml:space="preserve">the facility implements </w:t>
      </w:r>
      <w:r w:rsidR="00EC45CF" w:rsidRPr="00EC45CF">
        <w:rPr>
          <w:shd w:val="clear" w:color="auto" w:fill="FFFFFF"/>
        </w:rPr>
        <w:t>substantial contro</w:t>
      </w:r>
      <w:r w:rsidR="00F55459">
        <w:rPr>
          <w:shd w:val="clear" w:color="auto" w:fill="FFFFFF"/>
        </w:rPr>
        <w:t>ls.</w:t>
      </w:r>
    </w:p>
    <w:p w14:paraId="7FF34718" w14:textId="677F3C78" w:rsidR="00EC45CF" w:rsidRPr="00EC45CF" w:rsidRDefault="00132A3D" w:rsidP="00280BCE">
      <w:pPr>
        <w:pStyle w:val="BulletedList"/>
        <w:rPr>
          <w:shd w:val="clear" w:color="auto" w:fill="FFFFFF"/>
        </w:rPr>
      </w:pPr>
      <w:r>
        <w:rPr>
          <w:shd w:val="clear" w:color="auto" w:fill="FFFFFF"/>
        </w:rPr>
        <w:t xml:space="preserve">The RHR requires that states complete </w:t>
      </w:r>
      <w:r w:rsidR="00F5296D">
        <w:rPr>
          <w:shd w:val="clear" w:color="auto" w:fill="FFFFFF"/>
        </w:rPr>
        <w:t>an FFA</w:t>
      </w:r>
      <w:r>
        <w:rPr>
          <w:shd w:val="clear" w:color="auto" w:fill="FFFFFF"/>
        </w:rPr>
        <w:t>.</w:t>
      </w:r>
      <w:r w:rsidR="00901AC9">
        <w:rPr>
          <w:shd w:val="clear" w:color="auto" w:fill="FFFFFF"/>
        </w:rPr>
        <w:t xml:space="preserve"> </w:t>
      </w:r>
      <w:r w:rsidR="0028284A">
        <w:rPr>
          <w:shd w:val="clear" w:color="auto" w:fill="FFFFFF"/>
        </w:rPr>
        <w:t>The FFA</w:t>
      </w:r>
      <w:r w:rsidR="00EC45CF" w:rsidRPr="00EC45CF">
        <w:rPr>
          <w:shd w:val="clear" w:color="auto" w:fill="FFFFFF"/>
        </w:rPr>
        <w:t xml:space="preserve"> does not point to</w:t>
      </w:r>
      <w:r w:rsidR="00F55459">
        <w:rPr>
          <w:shd w:val="clear" w:color="auto" w:fill="FFFFFF"/>
        </w:rPr>
        <w:t xml:space="preserve"> </w:t>
      </w:r>
      <w:r w:rsidR="00EC45CF" w:rsidRPr="00EC45CF">
        <w:rPr>
          <w:shd w:val="clear" w:color="auto" w:fill="FFFFFF"/>
        </w:rPr>
        <w:t xml:space="preserve">meaningful </w:t>
      </w:r>
      <w:r w:rsidR="00C67AFF">
        <w:rPr>
          <w:shd w:val="clear" w:color="auto" w:fill="FFFFFF"/>
        </w:rPr>
        <w:t>RH</w:t>
      </w:r>
      <w:r w:rsidR="00EC45CF" w:rsidRPr="00EC45CF">
        <w:rPr>
          <w:shd w:val="clear" w:color="auto" w:fill="FFFFFF"/>
        </w:rPr>
        <w:t xml:space="preserve"> improvement or noticeable benefit toward the </w:t>
      </w:r>
      <w:r w:rsidR="007D4B2D">
        <w:rPr>
          <w:shd w:val="clear" w:color="auto" w:fill="FFFFFF"/>
        </w:rPr>
        <w:t>reasonable progress goals</w:t>
      </w:r>
      <w:r w:rsidR="007D4B2D" w:rsidRPr="00EC45CF">
        <w:rPr>
          <w:shd w:val="clear" w:color="auto" w:fill="FFFFFF"/>
        </w:rPr>
        <w:t xml:space="preserve"> </w:t>
      </w:r>
      <w:r w:rsidR="00EC45CF" w:rsidRPr="00EC45CF">
        <w:rPr>
          <w:shd w:val="clear" w:color="auto" w:fill="FFFFFF"/>
        </w:rPr>
        <w:t>during this second implementation period</w:t>
      </w:r>
      <w:r w:rsidR="00C13A52">
        <w:rPr>
          <w:shd w:val="clear" w:color="auto" w:fill="FFFFFF"/>
        </w:rPr>
        <w:t>, so we determined that no additional contro</w:t>
      </w:r>
      <w:r w:rsidR="00CB6863">
        <w:rPr>
          <w:shd w:val="clear" w:color="auto" w:fill="FFFFFF"/>
        </w:rPr>
        <w:t>l</w:t>
      </w:r>
      <w:r w:rsidR="00C13A52">
        <w:rPr>
          <w:shd w:val="clear" w:color="auto" w:fill="FFFFFF"/>
        </w:rPr>
        <w:t>s were reasonable</w:t>
      </w:r>
      <w:r w:rsidR="00EC45CF" w:rsidRPr="00EC45CF">
        <w:rPr>
          <w:shd w:val="clear" w:color="auto" w:fill="FFFFFF"/>
        </w:rPr>
        <w:t>.</w:t>
      </w:r>
    </w:p>
    <w:p w14:paraId="5B52D59A" w14:textId="2B6E3721" w:rsidR="00701658" w:rsidRDefault="00701658" w:rsidP="0028284A">
      <w:pPr>
        <w:pStyle w:val="Heading5"/>
        <w:rPr>
          <w:shd w:val="clear" w:color="auto" w:fill="FFFFFF"/>
        </w:rPr>
      </w:pPr>
      <w:bookmarkStart w:id="152" w:name="_Toc51673398"/>
      <w:bookmarkStart w:id="153" w:name="_Toc51674429"/>
      <w:bookmarkEnd w:id="127"/>
      <w:bookmarkEnd w:id="128"/>
      <w:r>
        <w:rPr>
          <w:shd w:val="clear" w:color="auto" w:fill="FFFFFF"/>
        </w:rPr>
        <w:lastRenderedPageBreak/>
        <w:t>Summary</w:t>
      </w:r>
      <w:r w:rsidR="0028284A">
        <w:rPr>
          <w:shd w:val="clear" w:color="auto" w:fill="FFFFFF"/>
        </w:rPr>
        <w:t xml:space="preserve"> </w:t>
      </w:r>
      <w:r w:rsidR="00C46C82">
        <w:rPr>
          <w:shd w:val="clear" w:color="auto" w:fill="FFFFFF"/>
        </w:rPr>
        <w:t xml:space="preserve">and </w:t>
      </w:r>
      <w:r w:rsidR="0028284A">
        <w:rPr>
          <w:shd w:val="clear" w:color="auto" w:fill="FFFFFF"/>
        </w:rPr>
        <w:t>preliminary r</w:t>
      </w:r>
      <w:r w:rsidR="00654BC2">
        <w:rPr>
          <w:shd w:val="clear" w:color="auto" w:fill="FFFFFF"/>
        </w:rPr>
        <w:t>ecommendations</w:t>
      </w:r>
      <w:bookmarkEnd w:id="152"/>
      <w:bookmarkEnd w:id="153"/>
    </w:p>
    <w:p w14:paraId="503B9DA2" w14:textId="12175843" w:rsidR="00701658" w:rsidRDefault="00D7613E" w:rsidP="00685261">
      <w:pPr>
        <w:pStyle w:val="BulletedList"/>
        <w:numPr>
          <w:ilvl w:val="0"/>
          <w:numId w:val="0"/>
        </w:numPr>
        <w:rPr>
          <w:shd w:val="clear" w:color="auto" w:fill="FFFFFF"/>
        </w:rPr>
      </w:pPr>
      <w:r>
        <w:t>A</w:t>
      </w:r>
      <w:r w:rsidR="00F401C3">
        <w:t xml:space="preserve">fter initial </w:t>
      </w:r>
      <w:r w:rsidR="00654BC2">
        <w:t>review</w:t>
      </w:r>
      <w:r w:rsidR="00F401C3">
        <w:t xml:space="preserve"> </w:t>
      </w:r>
      <w:r w:rsidR="00CB6863">
        <w:t xml:space="preserve">and </w:t>
      </w:r>
      <w:r w:rsidR="00654BC2">
        <w:t>further analysis</w:t>
      </w:r>
      <w:r w:rsidR="00F401C3" w:rsidRPr="00EC45CF">
        <w:t>, no action at this time is the</w:t>
      </w:r>
      <w:r w:rsidR="00F401C3" w:rsidRPr="00EC45CF" w:rsidDel="00132A3D">
        <w:t xml:space="preserve"> </w:t>
      </w:r>
      <w:r w:rsidR="00F401C3" w:rsidRPr="00EC45CF">
        <w:t>recommended option.</w:t>
      </w:r>
    </w:p>
    <w:p w14:paraId="155322CF" w14:textId="4ECAB168" w:rsidR="00893351" w:rsidRDefault="00893351" w:rsidP="00893351">
      <w:pPr>
        <w:pStyle w:val="Heading3"/>
      </w:pPr>
      <w:bookmarkStart w:id="154" w:name="_Toc49523845"/>
      <w:bookmarkStart w:id="155" w:name="_Toc49863873"/>
      <w:bookmarkStart w:id="156" w:name="_Toc51673399"/>
      <w:bookmarkStart w:id="157" w:name="_Toc51674430"/>
      <w:r>
        <w:t>Refineries</w:t>
      </w:r>
      <w:bookmarkEnd w:id="154"/>
      <w:bookmarkEnd w:id="155"/>
      <w:bookmarkEnd w:id="156"/>
      <w:bookmarkEnd w:id="157"/>
    </w:p>
    <w:p w14:paraId="316B2F26" w14:textId="52285CEC" w:rsidR="00893351" w:rsidRDefault="00E93DE3">
      <w:pPr>
        <w:pStyle w:val="Paragraph"/>
      </w:pPr>
      <w:r>
        <w:t xml:space="preserve">Five petroleum refineries are located in the state of Washington. The refineries are </w:t>
      </w:r>
      <w:r w:rsidR="00CC0E39">
        <w:t>Cherry Point refinery</w:t>
      </w:r>
      <w:r>
        <w:t xml:space="preserve"> (B P</w:t>
      </w:r>
      <w:r w:rsidR="00D7613E">
        <w:t xml:space="preserve"> Cherry Point</w:t>
      </w:r>
      <w:r>
        <w:t>)</w:t>
      </w:r>
      <w:r w:rsidR="00CC0E39">
        <w:t>, Shell Anacortes refinery</w:t>
      </w:r>
      <w:r>
        <w:t xml:space="preserve"> (Shell)</w:t>
      </w:r>
      <w:r w:rsidR="00CC0E39">
        <w:t>, Marathon Anacortes refinery</w:t>
      </w:r>
      <w:r>
        <w:t xml:space="preserve"> (Phillips 66)</w:t>
      </w:r>
      <w:r w:rsidR="00CC0E39">
        <w:t>, Ferndale refinery</w:t>
      </w:r>
      <w:r>
        <w:t xml:space="preserve"> (Tesoro)</w:t>
      </w:r>
      <w:r w:rsidR="00CC0E39">
        <w:t>, and U.S. Oil refinery</w:t>
      </w:r>
      <w:r>
        <w:t xml:space="preserve"> (U.S. Oil)</w:t>
      </w:r>
      <w:r w:rsidR="00CC0E39">
        <w:t>.</w:t>
      </w:r>
    </w:p>
    <w:p w14:paraId="446EF609" w14:textId="295A2275" w:rsidR="00893351" w:rsidRDefault="00893351" w:rsidP="008622A9">
      <w:pPr>
        <w:pStyle w:val="Paragraph"/>
      </w:pPr>
      <w:r>
        <w:t xml:space="preserve">The refineries in Washington are over 40 years old and the </w:t>
      </w:r>
      <w:r w:rsidR="00700F5C">
        <w:t xml:space="preserve">facilities have maintained the </w:t>
      </w:r>
      <w:r>
        <w:t>majority of the equipment</w:t>
      </w:r>
      <w:r w:rsidR="00700F5C">
        <w:t xml:space="preserve"> </w:t>
      </w:r>
      <w:r>
        <w:t>in a manner that has not required emission controls updates to current standards.</w:t>
      </w:r>
      <w:r w:rsidR="0067717B">
        <w:t xml:space="preserve"> </w:t>
      </w:r>
      <w:r>
        <w:t>EPA national enforcement actions and the installation of new equipment</w:t>
      </w:r>
      <w:r w:rsidR="00700F5C">
        <w:t xml:space="preserve"> have yielded the updating of some equipment</w:t>
      </w:r>
      <w:r>
        <w:t>. All the refineries have made changes to accommodate the new fuel standards, lower sulfur, and benzene content.</w:t>
      </w:r>
    </w:p>
    <w:p w14:paraId="4F54A187" w14:textId="26743D10" w:rsidR="00CC0E39" w:rsidRDefault="00E960FB" w:rsidP="008622A9">
      <w:pPr>
        <w:pStyle w:val="Paragraph"/>
      </w:pPr>
      <w:r>
        <w:t xml:space="preserve">Washington's refineries existed before the </w:t>
      </w:r>
      <w:r w:rsidR="003B1ADF">
        <w:t>federal C</w:t>
      </w:r>
      <w:r>
        <w:t xml:space="preserve">lean </w:t>
      </w:r>
      <w:r w:rsidR="003B1ADF">
        <w:t>A</w:t>
      </w:r>
      <w:r>
        <w:t xml:space="preserve">ir </w:t>
      </w:r>
      <w:r w:rsidR="003B1ADF">
        <w:t>A</w:t>
      </w:r>
      <w:r>
        <w:t>ct</w:t>
      </w:r>
      <w:r w:rsidR="003B1ADF">
        <w:t xml:space="preserve"> (CAA)</w:t>
      </w:r>
      <w:r>
        <w:t xml:space="preserve">. The majority of the equipment has not been modified since the </w:t>
      </w:r>
      <w:r w:rsidR="003B1ADF">
        <w:t>CAA</w:t>
      </w:r>
      <w:r>
        <w:t xml:space="preserve"> was promulgated, thus no additional control equipment or requirements have been triggered.</w:t>
      </w:r>
      <w:r w:rsidR="001F6E4D">
        <w:t xml:space="preserve"> </w:t>
      </w:r>
      <w:r w:rsidR="00654BC2">
        <w:t>As described below, t</w:t>
      </w:r>
      <w:r w:rsidR="00CC0E39">
        <w:t>hree Washington refineries emit more oxides of nitrogen per barrel of production capacity than any other refineries in the U.S.</w:t>
      </w:r>
    </w:p>
    <w:p w14:paraId="7CC5939A" w14:textId="1C217301" w:rsidR="00CC0E39" w:rsidRDefault="00CC0E39" w:rsidP="008622A9">
      <w:pPr>
        <w:pStyle w:val="Paragraph"/>
      </w:pPr>
      <w:r>
        <w:t>Each refinery is uniquely configured.</w:t>
      </w:r>
      <w:r w:rsidR="0067717B">
        <w:t xml:space="preserve"> </w:t>
      </w:r>
      <w:r>
        <w:t>The major difference is how they handle the heavy crude bottom fraction:</w:t>
      </w:r>
    </w:p>
    <w:p w14:paraId="42BC79CD" w14:textId="77777777" w:rsidR="00CC0E39" w:rsidRDefault="00CC0E39" w:rsidP="00CC0E39">
      <w:pPr>
        <w:pStyle w:val="BulletedList"/>
      </w:pPr>
      <w:r>
        <w:t>BP Cherry Point uses hydrocracker and coker units to handle the heavy fractions.</w:t>
      </w:r>
    </w:p>
    <w:p w14:paraId="539974E1" w14:textId="5C06FA5C" w:rsidR="00CC0E39" w:rsidRDefault="00CC0E39" w:rsidP="00CC0E39">
      <w:pPr>
        <w:pStyle w:val="BulletedList"/>
      </w:pPr>
      <w:r>
        <w:t>Phillips 66 uses a Fluidized Catalytic Cracking U</w:t>
      </w:r>
      <w:r w:rsidR="00F62A68">
        <w:t>nit (FCCU) to handle the heavy</w:t>
      </w:r>
      <w:r>
        <w:t xml:space="preserve"> fractions.</w:t>
      </w:r>
    </w:p>
    <w:p w14:paraId="4125B98C" w14:textId="4770BCA0" w:rsidR="00CC0E39" w:rsidRDefault="00CC0E39" w:rsidP="00CC0E39">
      <w:pPr>
        <w:pStyle w:val="BulletedList"/>
      </w:pPr>
      <w:r>
        <w:t>Shell uses a FCCU</w:t>
      </w:r>
      <w:r w:rsidR="00F62A68">
        <w:t xml:space="preserve"> and coker to handle the heavy</w:t>
      </w:r>
      <w:r>
        <w:t xml:space="preserve"> fractions.</w:t>
      </w:r>
    </w:p>
    <w:p w14:paraId="5F4C1995" w14:textId="7F4529F3" w:rsidR="00CC0E39" w:rsidRDefault="00CC0E39" w:rsidP="00CC0E39">
      <w:pPr>
        <w:pStyle w:val="BulletedList"/>
      </w:pPr>
      <w:r>
        <w:t>Tesoro u</w:t>
      </w:r>
      <w:r w:rsidR="00F62A68">
        <w:t>ses a FCCU to handle the heavy</w:t>
      </w:r>
      <w:r>
        <w:t xml:space="preserve"> fraction.</w:t>
      </w:r>
    </w:p>
    <w:p w14:paraId="057E4E49" w14:textId="77777777" w:rsidR="00CC0E39" w:rsidRDefault="00CC0E39" w:rsidP="00CC0E39">
      <w:pPr>
        <w:pStyle w:val="BulletedList"/>
      </w:pPr>
      <w:r>
        <w:t>U.S. Oil produces asphalt or exports it to other refineries for further processing.</w:t>
      </w:r>
    </w:p>
    <w:p w14:paraId="598E023C" w14:textId="77777777" w:rsidR="00CC0E39" w:rsidRDefault="00CC0E39" w:rsidP="008622A9">
      <w:pPr>
        <w:pStyle w:val="Paragraph"/>
      </w:pPr>
      <w:r>
        <w:t>All the refineries have flexibility to send intermediate products to other refineries for final processing.</w:t>
      </w:r>
    </w:p>
    <w:p w14:paraId="020C02E7" w14:textId="21961879" w:rsidR="00893351" w:rsidRDefault="003C6544" w:rsidP="008622A9">
      <w:pPr>
        <w:pStyle w:val="Paragraph"/>
      </w:pPr>
      <w:r w:rsidRPr="00F62A68">
        <w:rPr>
          <w:b/>
        </w:rPr>
        <w:fldChar w:fldCharType="begin"/>
      </w:r>
      <w:r w:rsidRPr="00F62A68">
        <w:rPr>
          <w:b/>
        </w:rPr>
        <w:instrText xml:space="preserve"> REF _Ref49937051 \h </w:instrText>
      </w:r>
      <w:r>
        <w:rPr>
          <w:b/>
        </w:rPr>
        <w:instrText xml:space="preserve"> \* MERGEFORMAT </w:instrText>
      </w:r>
      <w:r w:rsidRPr="00F62A68">
        <w:rPr>
          <w:b/>
        </w:rPr>
      </w:r>
      <w:r w:rsidRPr="00F62A68">
        <w:rPr>
          <w:b/>
        </w:rPr>
        <w:fldChar w:fldCharType="separate"/>
      </w:r>
      <w:r w:rsidR="00BB7101" w:rsidRPr="00BB7101">
        <w:rPr>
          <w:b/>
        </w:rPr>
        <w:t xml:space="preserve">Table </w:t>
      </w:r>
      <w:r w:rsidR="00BB7101" w:rsidRPr="00BB7101">
        <w:rPr>
          <w:b/>
          <w:noProof/>
        </w:rPr>
        <w:t>6</w:t>
      </w:r>
      <w:r w:rsidRPr="00F62A68">
        <w:rPr>
          <w:b/>
        </w:rPr>
        <w:fldChar w:fldCharType="end"/>
      </w:r>
      <w:r>
        <w:t xml:space="preserve">, below, </w:t>
      </w:r>
      <w:r w:rsidR="00893351">
        <w:t>show</w:t>
      </w:r>
      <w:r>
        <w:t>s</w:t>
      </w:r>
      <w:r w:rsidR="00893351">
        <w:t xml:space="preserve"> how Washington refineries compare nationally based on </w:t>
      </w:r>
      <w:r w:rsidR="001E255C">
        <w:t>NO</w:t>
      </w:r>
      <w:r w:rsidR="001E255C" w:rsidRPr="001E255C">
        <w:rPr>
          <w:vertAlign w:val="subscript"/>
        </w:rPr>
        <w:t>X</w:t>
      </w:r>
      <w:r w:rsidR="00893351">
        <w:t xml:space="preserve"> emissions per barrel of production capacity</w:t>
      </w:r>
      <w:r w:rsidR="006339CA">
        <w:t xml:space="preserve">. </w:t>
      </w:r>
      <w:r w:rsidR="00100946">
        <w:t>The table shows the top refineries and all Washington refineries ranked by NO</w:t>
      </w:r>
      <w:r w:rsidR="00100946" w:rsidRPr="001E255C">
        <w:rPr>
          <w:vertAlign w:val="subscript"/>
        </w:rPr>
        <w:t>X</w:t>
      </w:r>
      <w:r w:rsidR="00100946">
        <w:t xml:space="preserve"> emissions in ton pers year. The table is then sorted from highest to lowest NO</w:t>
      </w:r>
      <w:r w:rsidR="00100946" w:rsidRPr="001E255C">
        <w:rPr>
          <w:vertAlign w:val="subscript"/>
        </w:rPr>
        <w:t>X</w:t>
      </w:r>
      <w:r w:rsidR="00100946">
        <w:t xml:space="preserve"> emissions deivided by production capacity.</w:t>
      </w:r>
      <w:r w:rsidR="00E02730">
        <w:t xml:space="preserve"> </w:t>
      </w:r>
      <w:r w:rsidR="00100946">
        <w:t xml:space="preserve">The data is from the </w:t>
      </w:r>
      <w:r w:rsidR="00893351">
        <w:t xml:space="preserve">2014 </w:t>
      </w:r>
      <w:r w:rsidR="00A523D6">
        <w:t xml:space="preserve">EPA emission </w:t>
      </w:r>
      <w:r w:rsidR="006339CA">
        <w:t>data</w:t>
      </w:r>
      <w:r w:rsidR="00A523D6">
        <w:t xml:space="preserve"> of </w:t>
      </w:r>
      <w:r w:rsidR="006339CA">
        <w:t xml:space="preserve">88 refineries </w:t>
      </w:r>
      <w:r w:rsidR="00100946">
        <w:t xml:space="preserve">located </w:t>
      </w:r>
      <w:r w:rsidR="006339CA">
        <w:t>in nine s</w:t>
      </w:r>
      <w:r w:rsidR="00893351">
        <w:t xml:space="preserve">tates: AK, CA CO, IL, LA, MT, TX, WA, </w:t>
      </w:r>
      <w:r w:rsidR="00100946">
        <w:t xml:space="preserve">and </w:t>
      </w:r>
      <w:r w:rsidR="00893351">
        <w:t>WY</w:t>
      </w:r>
      <w:r w:rsidR="00100946">
        <w:t>. Washington refineries represent 4 of the top 5 facilities in the nine states in NO</w:t>
      </w:r>
      <w:r w:rsidR="00100946" w:rsidRPr="001E255C">
        <w:rPr>
          <w:vertAlign w:val="subscript"/>
        </w:rPr>
        <w:t>X</w:t>
      </w:r>
      <w:r w:rsidR="00100946">
        <w:t xml:space="preserve"> emissions per 1,000 barrels produced per day.</w:t>
      </w:r>
    </w:p>
    <w:p w14:paraId="21D81C7B" w14:textId="792BA377" w:rsidR="00893351" w:rsidRDefault="00893351" w:rsidP="008622A9">
      <w:pPr>
        <w:pStyle w:val="Paragraph"/>
      </w:pPr>
      <w:r>
        <w:br w:type="page"/>
      </w:r>
    </w:p>
    <w:p w14:paraId="37E53F02" w14:textId="041CE8A2" w:rsidR="00C043A7" w:rsidRDefault="00C043A7" w:rsidP="00810C9B">
      <w:pPr>
        <w:pStyle w:val="Caption"/>
        <w:keepNext/>
        <w:spacing w:after="0"/>
      </w:pPr>
      <w:bookmarkStart w:id="158" w:name="_Ref49937051"/>
      <w:bookmarkStart w:id="159" w:name="_Toc51675377"/>
      <w:r>
        <w:lastRenderedPageBreak/>
        <w:t xml:space="preserve">Table </w:t>
      </w:r>
      <w:fldSimple w:instr=" SEQ Table \* ARABIC ">
        <w:r w:rsidR="00396A5E">
          <w:t>6</w:t>
        </w:r>
      </w:fldSimple>
      <w:bookmarkEnd w:id="158"/>
      <w:r>
        <w:t xml:space="preserve">: </w:t>
      </w:r>
      <w:r w:rsidR="00611ACA">
        <w:t>Washington r</w:t>
      </w:r>
      <w:r w:rsidRPr="00EF6BC5">
        <w:t xml:space="preserve">efineries </w:t>
      </w:r>
      <w:r w:rsidR="00611ACA">
        <w:t>a</w:t>
      </w:r>
      <w:r w:rsidRPr="00EF6BC5">
        <w:t xml:space="preserve">nnual </w:t>
      </w:r>
      <w:r w:rsidR="00611ACA">
        <w:t>e</w:t>
      </w:r>
      <w:r w:rsidRPr="00EF6BC5">
        <w:t xml:space="preserve">missions and </w:t>
      </w:r>
      <w:r w:rsidR="00611ACA">
        <w:t>p</w:t>
      </w:r>
      <w:r w:rsidRPr="00EF6BC5">
        <w:t xml:space="preserve">roduction </w:t>
      </w:r>
      <w:r w:rsidR="00611ACA">
        <w:t>c</w:t>
      </w:r>
      <w:r w:rsidRPr="00EF6BC5">
        <w:t>apacity</w:t>
      </w:r>
      <w:bookmarkEnd w:id="159"/>
    </w:p>
    <w:tbl>
      <w:tblPr>
        <w:tblStyle w:val="TableGrid"/>
        <w:tblW w:w="5000" w:type="pct"/>
        <w:tblLook w:val="04A0" w:firstRow="1" w:lastRow="0" w:firstColumn="1" w:lastColumn="0" w:noHBand="0" w:noVBand="1"/>
        <w:tblCaption w:val="Washington Refineries Annual Emissions and Production Capacity compared to othere states"/>
      </w:tblPr>
      <w:tblGrid>
        <w:gridCol w:w="893"/>
        <w:gridCol w:w="3672"/>
        <w:gridCol w:w="928"/>
        <w:gridCol w:w="1474"/>
        <w:gridCol w:w="1128"/>
        <w:gridCol w:w="1255"/>
      </w:tblGrid>
      <w:tr w:rsidR="00893351" w:rsidRPr="005679C6" w14:paraId="7851A8FA" w14:textId="77777777" w:rsidTr="00C043A7">
        <w:trPr>
          <w:trHeight w:val="576"/>
          <w:tblHeader/>
        </w:trPr>
        <w:tc>
          <w:tcPr>
            <w:tcW w:w="478" w:type="pct"/>
            <w:vAlign w:val="center"/>
            <w:hideMark/>
          </w:tcPr>
          <w:p w14:paraId="5BF54319" w14:textId="77777777" w:rsidR="00893351" w:rsidRPr="005679C6" w:rsidRDefault="00893351" w:rsidP="00C043A7">
            <w:pPr>
              <w:pStyle w:val="TableParagraph"/>
              <w:rPr>
                <w:b/>
              </w:rPr>
            </w:pPr>
            <w:r w:rsidRPr="005679C6">
              <w:rPr>
                <w:b/>
              </w:rPr>
              <w:t>State</w:t>
            </w:r>
          </w:p>
        </w:tc>
        <w:tc>
          <w:tcPr>
            <w:tcW w:w="1964" w:type="pct"/>
            <w:vAlign w:val="center"/>
            <w:hideMark/>
          </w:tcPr>
          <w:p w14:paraId="6B1C0BB8" w14:textId="77777777" w:rsidR="00893351" w:rsidRPr="005679C6" w:rsidRDefault="00893351" w:rsidP="00C043A7">
            <w:pPr>
              <w:pStyle w:val="TableParagraph"/>
              <w:rPr>
                <w:b/>
              </w:rPr>
            </w:pPr>
            <w:r w:rsidRPr="005679C6">
              <w:rPr>
                <w:b/>
              </w:rPr>
              <w:t>Company</w:t>
            </w:r>
          </w:p>
        </w:tc>
        <w:tc>
          <w:tcPr>
            <w:tcW w:w="496" w:type="pct"/>
            <w:vAlign w:val="center"/>
            <w:hideMark/>
          </w:tcPr>
          <w:p w14:paraId="2DFA726E" w14:textId="55327FD0" w:rsidR="00893351" w:rsidRPr="001E255C" w:rsidRDefault="001E255C" w:rsidP="00C043A7">
            <w:pPr>
              <w:pStyle w:val="TableParagraph"/>
              <w:rPr>
                <w:b/>
              </w:rPr>
            </w:pPr>
            <w:r w:rsidRPr="001E255C">
              <w:rPr>
                <w:b/>
              </w:rPr>
              <w:t>NO</w:t>
            </w:r>
            <w:r w:rsidRPr="001E255C">
              <w:rPr>
                <w:b/>
                <w:vertAlign w:val="subscript"/>
              </w:rPr>
              <w:t>X</w:t>
            </w:r>
            <w:r w:rsidR="00893351" w:rsidRPr="001E255C">
              <w:rPr>
                <w:b/>
              </w:rPr>
              <w:t xml:space="preserve"> tpy 2014 </w:t>
            </w:r>
          </w:p>
        </w:tc>
        <w:tc>
          <w:tcPr>
            <w:tcW w:w="788" w:type="pct"/>
            <w:vAlign w:val="center"/>
            <w:hideMark/>
          </w:tcPr>
          <w:p w14:paraId="7C049EAE" w14:textId="45146813" w:rsidR="00893351" w:rsidRPr="005679C6" w:rsidRDefault="00893351" w:rsidP="00C043A7">
            <w:pPr>
              <w:pStyle w:val="TableParagraph"/>
              <w:rPr>
                <w:b/>
              </w:rPr>
            </w:pPr>
            <w:r w:rsidRPr="005679C6">
              <w:rPr>
                <w:b/>
              </w:rPr>
              <w:t xml:space="preserve">Ranking </w:t>
            </w:r>
            <w:r w:rsidR="001E255C" w:rsidRPr="001E255C">
              <w:rPr>
                <w:b/>
              </w:rPr>
              <w:t>NO</w:t>
            </w:r>
            <w:r w:rsidR="001E255C" w:rsidRPr="001E255C">
              <w:rPr>
                <w:b/>
                <w:vertAlign w:val="subscript"/>
              </w:rPr>
              <w:t>X</w:t>
            </w:r>
            <w:r w:rsidRPr="005679C6">
              <w:rPr>
                <w:b/>
              </w:rPr>
              <w:t xml:space="preserve"> tpy </w:t>
            </w:r>
          </w:p>
        </w:tc>
        <w:tc>
          <w:tcPr>
            <w:tcW w:w="603" w:type="pct"/>
            <w:vAlign w:val="center"/>
            <w:hideMark/>
          </w:tcPr>
          <w:p w14:paraId="5848664E" w14:textId="77777777" w:rsidR="00893351" w:rsidRPr="005679C6" w:rsidRDefault="00893351" w:rsidP="00C043A7">
            <w:pPr>
              <w:pStyle w:val="TableParagraph"/>
              <w:rPr>
                <w:b/>
              </w:rPr>
            </w:pPr>
            <w:r w:rsidRPr="005679C6">
              <w:rPr>
                <w:b/>
              </w:rPr>
              <w:t>1,000 BPD</w:t>
            </w:r>
          </w:p>
        </w:tc>
        <w:tc>
          <w:tcPr>
            <w:tcW w:w="671" w:type="pct"/>
            <w:vAlign w:val="center"/>
            <w:hideMark/>
          </w:tcPr>
          <w:p w14:paraId="6C89AA28" w14:textId="225AD8EB" w:rsidR="00893351" w:rsidRPr="005679C6" w:rsidRDefault="001E255C" w:rsidP="00C043A7">
            <w:pPr>
              <w:pStyle w:val="TableParagraph"/>
              <w:rPr>
                <w:b/>
              </w:rPr>
            </w:pPr>
            <w:r w:rsidRPr="001E255C">
              <w:rPr>
                <w:b/>
              </w:rPr>
              <w:t>NO</w:t>
            </w:r>
            <w:r w:rsidRPr="001E255C">
              <w:rPr>
                <w:b/>
                <w:vertAlign w:val="subscript"/>
              </w:rPr>
              <w:t>X</w:t>
            </w:r>
            <w:r w:rsidR="00893351" w:rsidRPr="005679C6">
              <w:rPr>
                <w:b/>
              </w:rPr>
              <w:t xml:space="preserve"> tpy/1,000 BPD </w:t>
            </w:r>
          </w:p>
        </w:tc>
      </w:tr>
      <w:tr w:rsidR="00893351" w:rsidRPr="006D219C" w14:paraId="420DAA02" w14:textId="77777777" w:rsidTr="00C043A7">
        <w:trPr>
          <w:trHeight w:val="576"/>
        </w:trPr>
        <w:tc>
          <w:tcPr>
            <w:tcW w:w="478" w:type="pct"/>
            <w:vAlign w:val="center"/>
            <w:hideMark/>
          </w:tcPr>
          <w:p w14:paraId="6FCC871D" w14:textId="77777777" w:rsidR="00893351" w:rsidRPr="006D219C" w:rsidRDefault="00893351" w:rsidP="00C043A7">
            <w:pPr>
              <w:pStyle w:val="TableParagraph"/>
              <w:rPr>
                <w:b/>
              </w:rPr>
            </w:pPr>
            <w:r w:rsidRPr="006D219C">
              <w:rPr>
                <w:b/>
              </w:rPr>
              <w:t>WA</w:t>
            </w:r>
          </w:p>
        </w:tc>
        <w:tc>
          <w:tcPr>
            <w:tcW w:w="1964" w:type="pct"/>
            <w:vAlign w:val="center"/>
            <w:hideMark/>
          </w:tcPr>
          <w:p w14:paraId="14684CF6" w14:textId="2E029FBD" w:rsidR="00893351" w:rsidRPr="006D219C" w:rsidRDefault="001F6E4D" w:rsidP="00C043A7">
            <w:pPr>
              <w:pStyle w:val="TableParagraph"/>
              <w:rPr>
                <w:b/>
              </w:rPr>
            </w:pPr>
            <w:r>
              <w:rPr>
                <w:b/>
              </w:rPr>
              <w:t>Tesoro Northwest Company</w:t>
            </w:r>
          </w:p>
        </w:tc>
        <w:tc>
          <w:tcPr>
            <w:tcW w:w="496" w:type="pct"/>
            <w:vAlign w:val="center"/>
            <w:hideMark/>
          </w:tcPr>
          <w:p w14:paraId="005D42BA" w14:textId="576FF213" w:rsidR="00893351" w:rsidRPr="006D219C" w:rsidRDefault="00893351" w:rsidP="00C043A7">
            <w:pPr>
              <w:pStyle w:val="TableParagraph"/>
              <w:rPr>
                <w:b/>
              </w:rPr>
            </w:pPr>
            <w:r w:rsidRPr="006D219C">
              <w:rPr>
                <w:b/>
              </w:rPr>
              <w:t xml:space="preserve">1,918 </w:t>
            </w:r>
          </w:p>
        </w:tc>
        <w:tc>
          <w:tcPr>
            <w:tcW w:w="788" w:type="pct"/>
            <w:vAlign w:val="center"/>
            <w:hideMark/>
          </w:tcPr>
          <w:p w14:paraId="14D58661" w14:textId="77777777" w:rsidR="00893351" w:rsidRPr="006D219C" w:rsidRDefault="00893351" w:rsidP="00C043A7">
            <w:pPr>
              <w:pStyle w:val="TableParagraph"/>
              <w:rPr>
                <w:b/>
              </w:rPr>
            </w:pPr>
            <w:r w:rsidRPr="006D219C">
              <w:rPr>
                <w:b/>
              </w:rPr>
              <w:t>3</w:t>
            </w:r>
          </w:p>
        </w:tc>
        <w:tc>
          <w:tcPr>
            <w:tcW w:w="603" w:type="pct"/>
            <w:vAlign w:val="center"/>
            <w:hideMark/>
          </w:tcPr>
          <w:p w14:paraId="5E91028B" w14:textId="77777777" w:rsidR="00893351" w:rsidRPr="006D219C" w:rsidRDefault="00893351" w:rsidP="00C043A7">
            <w:pPr>
              <w:pStyle w:val="TableParagraph"/>
              <w:rPr>
                <w:b/>
              </w:rPr>
            </w:pPr>
            <w:r w:rsidRPr="006D219C">
              <w:rPr>
                <w:b/>
              </w:rPr>
              <w:t>119</w:t>
            </w:r>
          </w:p>
        </w:tc>
        <w:tc>
          <w:tcPr>
            <w:tcW w:w="671" w:type="pct"/>
            <w:vAlign w:val="center"/>
            <w:hideMark/>
          </w:tcPr>
          <w:p w14:paraId="7C1B6564" w14:textId="7CA6B8FC" w:rsidR="00893351" w:rsidRPr="006D219C" w:rsidRDefault="00893351" w:rsidP="00C043A7">
            <w:pPr>
              <w:pStyle w:val="TableParagraph"/>
              <w:rPr>
                <w:b/>
              </w:rPr>
            </w:pPr>
            <w:r w:rsidRPr="006D219C">
              <w:rPr>
                <w:b/>
              </w:rPr>
              <w:t xml:space="preserve">16.12 </w:t>
            </w:r>
          </w:p>
        </w:tc>
      </w:tr>
      <w:tr w:rsidR="00893351" w:rsidRPr="006D219C" w14:paraId="41BBA22D" w14:textId="77777777" w:rsidTr="00C043A7">
        <w:trPr>
          <w:trHeight w:val="576"/>
        </w:trPr>
        <w:tc>
          <w:tcPr>
            <w:tcW w:w="478" w:type="pct"/>
            <w:vAlign w:val="center"/>
            <w:hideMark/>
          </w:tcPr>
          <w:p w14:paraId="213FF229" w14:textId="77777777" w:rsidR="00893351" w:rsidRPr="006D219C" w:rsidRDefault="00893351" w:rsidP="00C043A7">
            <w:pPr>
              <w:pStyle w:val="TableParagraph"/>
              <w:rPr>
                <w:b/>
              </w:rPr>
            </w:pPr>
            <w:r w:rsidRPr="006D219C">
              <w:rPr>
                <w:b/>
              </w:rPr>
              <w:t>WA</w:t>
            </w:r>
          </w:p>
        </w:tc>
        <w:tc>
          <w:tcPr>
            <w:tcW w:w="1964" w:type="pct"/>
            <w:vAlign w:val="center"/>
            <w:hideMark/>
          </w:tcPr>
          <w:p w14:paraId="2D39C3CC" w14:textId="0D1F58C9" w:rsidR="00893351" w:rsidRPr="006D219C" w:rsidRDefault="001F6E4D" w:rsidP="001F6E4D">
            <w:pPr>
              <w:pStyle w:val="TableParagraph"/>
              <w:rPr>
                <w:b/>
              </w:rPr>
            </w:pPr>
            <w:r>
              <w:rPr>
                <w:b/>
              </w:rPr>
              <w:t xml:space="preserve">Shell </w:t>
            </w:r>
            <w:r w:rsidR="00893351" w:rsidRPr="006D219C">
              <w:rPr>
                <w:b/>
              </w:rPr>
              <w:t>P</w:t>
            </w:r>
            <w:r>
              <w:rPr>
                <w:b/>
              </w:rPr>
              <w:t>uget</w:t>
            </w:r>
            <w:r w:rsidR="00893351" w:rsidRPr="006D219C">
              <w:rPr>
                <w:b/>
              </w:rPr>
              <w:t xml:space="preserve"> S</w:t>
            </w:r>
            <w:r>
              <w:rPr>
                <w:b/>
              </w:rPr>
              <w:t>ound</w:t>
            </w:r>
            <w:r w:rsidR="00893351" w:rsidRPr="006D219C">
              <w:rPr>
                <w:b/>
              </w:rPr>
              <w:t xml:space="preserve"> R</w:t>
            </w:r>
            <w:r>
              <w:rPr>
                <w:b/>
              </w:rPr>
              <w:t>efinery</w:t>
            </w:r>
          </w:p>
        </w:tc>
        <w:tc>
          <w:tcPr>
            <w:tcW w:w="496" w:type="pct"/>
            <w:vAlign w:val="center"/>
            <w:hideMark/>
          </w:tcPr>
          <w:p w14:paraId="1C1925BB" w14:textId="2313A5F1" w:rsidR="00893351" w:rsidRPr="006D219C" w:rsidRDefault="00893351" w:rsidP="00C043A7">
            <w:pPr>
              <w:pStyle w:val="TableParagraph"/>
              <w:rPr>
                <w:b/>
              </w:rPr>
            </w:pPr>
            <w:r w:rsidRPr="006D219C">
              <w:rPr>
                <w:b/>
              </w:rPr>
              <w:t xml:space="preserve">1,230 </w:t>
            </w:r>
          </w:p>
        </w:tc>
        <w:tc>
          <w:tcPr>
            <w:tcW w:w="788" w:type="pct"/>
            <w:vAlign w:val="center"/>
            <w:hideMark/>
          </w:tcPr>
          <w:p w14:paraId="0BC92864" w14:textId="77777777" w:rsidR="00893351" w:rsidRPr="006D219C" w:rsidRDefault="00893351" w:rsidP="00C043A7">
            <w:pPr>
              <w:pStyle w:val="TableParagraph"/>
              <w:rPr>
                <w:b/>
              </w:rPr>
            </w:pPr>
            <w:r w:rsidRPr="006D219C">
              <w:rPr>
                <w:b/>
              </w:rPr>
              <w:t>16</w:t>
            </w:r>
          </w:p>
        </w:tc>
        <w:tc>
          <w:tcPr>
            <w:tcW w:w="603" w:type="pct"/>
            <w:vAlign w:val="center"/>
            <w:hideMark/>
          </w:tcPr>
          <w:p w14:paraId="3F1F334F" w14:textId="77777777" w:rsidR="00893351" w:rsidRPr="006D219C" w:rsidRDefault="00893351" w:rsidP="00C043A7">
            <w:pPr>
              <w:pStyle w:val="TableParagraph"/>
              <w:rPr>
                <w:b/>
              </w:rPr>
            </w:pPr>
            <w:r w:rsidRPr="006D219C">
              <w:rPr>
                <w:b/>
              </w:rPr>
              <w:t>145</w:t>
            </w:r>
          </w:p>
        </w:tc>
        <w:tc>
          <w:tcPr>
            <w:tcW w:w="671" w:type="pct"/>
            <w:vAlign w:val="center"/>
            <w:hideMark/>
          </w:tcPr>
          <w:p w14:paraId="2B003345" w14:textId="43D1D4E9" w:rsidR="00893351" w:rsidRPr="006D219C" w:rsidRDefault="00893351" w:rsidP="00C043A7">
            <w:pPr>
              <w:pStyle w:val="TableParagraph"/>
              <w:rPr>
                <w:b/>
              </w:rPr>
            </w:pPr>
            <w:r w:rsidRPr="006D219C">
              <w:rPr>
                <w:b/>
              </w:rPr>
              <w:t xml:space="preserve">8.48 </w:t>
            </w:r>
          </w:p>
        </w:tc>
      </w:tr>
      <w:tr w:rsidR="00893351" w:rsidRPr="006D219C" w14:paraId="2E9B7004" w14:textId="77777777" w:rsidTr="00C043A7">
        <w:trPr>
          <w:trHeight w:val="576"/>
        </w:trPr>
        <w:tc>
          <w:tcPr>
            <w:tcW w:w="478" w:type="pct"/>
            <w:vAlign w:val="center"/>
            <w:hideMark/>
          </w:tcPr>
          <w:p w14:paraId="56497675" w14:textId="77777777" w:rsidR="00893351" w:rsidRPr="006D219C" w:rsidRDefault="00893351" w:rsidP="00C043A7">
            <w:pPr>
              <w:pStyle w:val="TableParagraph"/>
              <w:rPr>
                <w:b/>
              </w:rPr>
            </w:pPr>
            <w:r w:rsidRPr="006D219C">
              <w:rPr>
                <w:b/>
              </w:rPr>
              <w:t>WA</w:t>
            </w:r>
          </w:p>
        </w:tc>
        <w:tc>
          <w:tcPr>
            <w:tcW w:w="1964" w:type="pct"/>
            <w:vAlign w:val="center"/>
            <w:hideMark/>
          </w:tcPr>
          <w:p w14:paraId="5B5245BD" w14:textId="6CB01D27" w:rsidR="00893351" w:rsidRPr="006D219C" w:rsidRDefault="001F6E4D" w:rsidP="001F6E4D">
            <w:pPr>
              <w:pStyle w:val="TableParagraph"/>
              <w:rPr>
                <w:b/>
              </w:rPr>
            </w:pPr>
            <w:r>
              <w:rPr>
                <w:b/>
              </w:rPr>
              <w:t>BP Cherry</w:t>
            </w:r>
            <w:r w:rsidR="00893351" w:rsidRPr="006D219C">
              <w:rPr>
                <w:b/>
              </w:rPr>
              <w:t xml:space="preserve"> P</w:t>
            </w:r>
            <w:r>
              <w:rPr>
                <w:b/>
              </w:rPr>
              <w:t>oint</w:t>
            </w:r>
            <w:r w:rsidR="00893351" w:rsidRPr="006D219C">
              <w:rPr>
                <w:b/>
              </w:rPr>
              <w:t xml:space="preserve"> R</w:t>
            </w:r>
            <w:r>
              <w:rPr>
                <w:b/>
              </w:rPr>
              <w:t>efinery</w:t>
            </w:r>
          </w:p>
        </w:tc>
        <w:tc>
          <w:tcPr>
            <w:tcW w:w="496" w:type="pct"/>
            <w:vAlign w:val="center"/>
            <w:hideMark/>
          </w:tcPr>
          <w:p w14:paraId="7E4A3853" w14:textId="63E1B79F" w:rsidR="00893351" w:rsidRPr="006D219C" w:rsidRDefault="00893351" w:rsidP="00C043A7">
            <w:pPr>
              <w:pStyle w:val="TableParagraph"/>
              <w:rPr>
                <w:b/>
              </w:rPr>
            </w:pPr>
            <w:r w:rsidRPr="006D219C">
              <w:rPr>
                <w:b/>
              </w:rPr>
              <w:t xml:space="preserve">1,882 </w:t>
            </w:r>
          </w:p>
        </w:tc>
        <w:tc>
          <w:tcPr>
            <w:tcW w:w="788" w:type="pct"/>
            <w:vAlign w:val="center"/>
            <w:hideMark/>
          </w:tcPr>
          <w:p w14:paraId="005FD219" w14:textId="77777777" w:rsidR="00893351" w:rsidRPr="006D219C" w:rsidRDefault="00893351" w:rsidP="00C043A7">
            <w:pPr>
              <w:pStyle w:val="TableParagraph"/>
              <w:rPr>
                <w:b/>
              </w:rPr>
            </w:pPr>
            <w:r w:rsidRPr="006D219C">
              <w:rPr>
                <w:b/>
              </w:rPr>
              <w:t>4</w:t>
            </w:r>
          </w:p>
        </w:tc>
        <w:tc>
          <w:tcPr>
            <w:tcW w:w="603" w:type="pct"/>
            <w:vAlign w:val="center"/>
            <w:hideMark/>
          </w:tcPr>
          <w:p w14:paraId="770BCBFD" w14:textId="77777777" w:rsidR="00893351" w:rsidRPr="006D219C" w:rsidRDefault="00893351" w:rsidP="00C043A7">
            <w:pPr>
              <w:pStyle w:val="TableParagraph"/>
              <w:rPr>
                <w:b/>
              </w:rPr>
            </w:pPr>
            <w:r w:rsidRPr="006D219C">
              <w:rPr>
                <w:b/>
              </w:rPr>
              <w:t>242</w:t>
            </w:r>
          </w:p>
        </w:tc>
        <w:tc>
          <w:tcPr>
            <w:tcW w:w="671" w:type="pct"/>
            <w:vAlign w:val="center"/>
            <w:hideMark/>
          </w:tcPr>
          <w:p w14:paraId="1A9DB0FC" w14:textId="654E4BD1" w:rsidR="00893351" w:rsidRPr="006D219C" w:rsidRDefault="00893351" w:rsidP="00C043A7">
            <w:pPr>
              <w:pStyle w:val="TableParagraph"/>
              <w:rPr>
                <w:b/>
              </w:rPr>
            </w:pPr>
            <w:r w:rsidRPr="006D219C">
              <w:rPr>
                <w:b/>
              </w:rPr>
              <w:t xml:space="preserve">7.78 </w:t>
            </w:r>
          </w:p>
        </w:tc>
      </w:tr>
      <w:tr w:rsidR="00893351" w:rsidRPr="006D219C" w14:paraId="49D389AC" w14:textId="77777777" w:rsidTr="00C043A7">
        <w:trPr>
          <w:trHeight w:val="576"/>
        </w:trPr>
        <w:tc>
          <w:tcPr>
            <w:tcW w:w="478" w:type="pct"/>
            <w:vAlign w:val="center"/>
            <w:hideMark/>
          </w:tcPr>
          <w:p w14:paraId="1C251356" w14:textId="77777777" w:rsidR="00893351" w:rsidRPr="006D219C" w:rsidRDefault="00893351" w:rsidP="00C043A7">
            <w:pPr>
              <w:pStyle w:val="TableParagraph"/>
            </w:pPr>
            <w:r w:rsidRPr="006D219C">
              <w:t>LA</w:t>
            </w:r>
          </w:p>
        </w:tc>
        <w:tc>
          <w:tcPr>
            <w:tcW w:w="1964" w:type="pct"/>
            <w:vAlign w:val="center"/>
            <w:hideMark/>
          </w:tcPr>
          <w:p w14:paraId="55638177" w14:textId="77777777" w:rsidR="00893351" w:rsidRPr="006D219C" w:rsidRDefault="00893351" w:rsidP="00C043A7">
            <w:pPr>
              <w:pStyle w:val="TableParagraph"/>
            </w:pPr>
            <w:r w:rsidRPr="006D219C">
              <w:t>Equilon Enterprises LLC - Shell Oil Products US Norco Refinery</w:t>
            </w:r>
          </w:p>
        </w:tc>
        <w:tc>
          <w:tcPr>
            <w:tcW w:w="496" w:type="pct"/>
            <w:vAlign w:val="center"/>
            <w:hideMark/>
          </w:tcPr>
          <w:p w14:paraId="656A870C" w14:textId="07BF70D6" w:rsidR="00893351" w:rsidRPr="006D219C" w:rsidRDefault="00893351" w:rsidP="00C043A7">
            <w:pPr>
              <w:pStyle w:val="TableParagraph"/>
            </w:pPr>
            <w:r w:rsidRPr="006D219C">
              <w:t xml:space="preserve">1,626 </w:t>
            </w:r>
          </w:p>
        </w:tc>
        <w:tc>
          <w:tcPr>
            <w:tcW w:w="788" w:type="pct"/>
            <w:vAlign w:val="center"/>
            <w:hideMark/>
          </w:tcPr>
          <w:p w14:paraId="42CBC8E0" w14:textId="77777777" w:rsidR="00893351" w:rsidRPr="006D219C" w:rsidRDefault="00893351" w:rsidP="00C043A7">
            <w:pPr>
              <w:pStyle w:val="TableParagraph"/>
            </w:pPr>
            <w:r w:rsidRPr="006D219C">
              <w:t>11</w:t>
            </w:r>
          </w:p>
        </w:tc>
        <w:tc>
          <w:tcPr>
            <w:tcW w:w="603" w:type="pct"/>
            <w:vAlign w:val="center"/>
            <w:hideMark/>
          </w:tcPr>
          <w:p w14:paraId="1EE61A56" w14:textId="77777777" w:rsidR="00893351" w:rsidRPr="006D219C" w:rsidRDefault="00893351" w:rsidP="00C043A7">
            <w:pPr>
              <w:pStyle w:val="TableParagraph"/>
            </w:pPr>
            <w:r w:rsidRPr="006D219C">
              <w:t>225</w:t>
            </w:r>
          </w:p>
        </w:tc>
        <w:tc>
          <w:tcPr>
            <w:tcW w:w="671" w:type="pct"/>
            <w:vAlign w:val="center"/>
            <w:hideMark/>
          </w:tcPr>
          <w:p w14:paraId="7C8D0A5D" w14:textId="56588866" w:rsidR="00893351" w:rsidRPr="006D219C" w:rsidRDefault="00893351" w:rsidP="00C043A7">
            <w:pPr>
              <w:pStyle w:val="TableParagraph"/>
            </w:pPr>
            <w:r w:rsidRPr="006D219C">
              <w:t xml:space="preserve">7.23 </w:t>
            </w:r>
          </w:p>
        </w:tc>
      </w:tr>
      <w:tr w:rsidR="00893351" w:rsidRPr="006D219C" w14:paraId="2A0C3FB2" w14:textId="77777777" w:rsidTr="00C043A7">
        <w:trPr>
          <w:trHeight w:val="576"/>
        </w:trPr>
        <w:tc>
          <w:tcPr>
            <w:tcW w:w="478" w:type="pct"/>
            <w:vAlign w:val="center"/>
            <w:hideMark/>
          </w:tcPr>
          <w:p w14:paraId="535556F0" w14:textId="77777777" w:rsidR="00893351" w:rsidRPr="006D219C" w:rsidRDefault="00893351" w:rsidP="00C043A7">
            <w:pPr>
              <w:pStyle w:val="TableParagraph"/>
              <w:rPr>
                <w:b/>
              </w:rPr>
            </w:pPr>
            <w:r w:rsidRPr="006D219C">
              <w:rPr>
                <w:b/>
              </w:rPr>
              <w:t>WA</w:t>
            </w:r>
          </w:p>
        </w:tc>
        <w:tc>
          <w:tcPr>
            <w:tcW w:w="1964" w:type="pct"/>
            <w:vAlign w:val="center"/>
            <w:hideMark/>
          </w:tcPr>
          <w:p w14:paraId="0BF50BA9" w14:textId="371BF64A" w:rsidR="00893351" w:rsidRPr="006D219C" w:rsidRDefault="001F6E4D" w:rsidP="00C043A7">
            <w:pPr>
              <w:pStyle w:val="TableParagraph"/>
              <w:rPr>
                <w:b/>
              </w:rPr>
            </w:pPr>
            <w:r>
              <w:rPr>
                <w:b/>
              </w:rPr>
              <w:t>Phillips</w:t>
            </w:r>
            <w:r w:rsidR="00893351" w:rsidRPr="006D219C">
              <w:rPr>
                <w:b/>
              </w:rPr>
              <w:t xml:space="preserve"> 66 Ferndale Refinery</w:t>
            </w:r>
          </w:p>
        </w:tc>
        <w:tc>
          <w:tcPr>
            <w:tcW w:w="496" w:type="pct"/>
            <w:vAlign w:val="center"/>
            <w:hideMark/>
          </w:tcPr>
          <w:p w14:paraId="52CCF709" w14:textId="1D7595E9" w:rsidR="00893351" w:rsidRPr="006D219C" w:rsidRDefault="00893351" w:rsidP="00C043A7">
            <w:pPr>
              <w:pStyle w:val="TableParagraph"/>
              <w:rPr>
                <w:b/>
              </w:rPr>
            </w:pPr>
            <w:r w:rsidRPr="006D219C">
              <w:rPr>
                <w:b/>
              </w:rPr>
              <w:t xml:space="preserve">723 </w:t>
            </w:r>
          </w:p>
        </w:tc>
        <w:tc>
          <w:tcPr>
            <w:tcW w:w="788" w:type="pct"/>
            <w:vAlign w:val="center"/>
            <w:hideMark/>
          </w:tcPr>
          <w:p w14:paraId="1C2DE74B" w14:textId="77777777" w:rsidR="00893351" w:rsidRPr="006D219C" w:rsidRDefault="00893351" w:rsidP="00C043A7">
            <w:pPr>
              <w:pStyle w:val="TableParagraph"/>
              <w:rPr>
                <w:b/>
              </w:rPr>
            </w:pPr>
            <w:r w:rsidRPr="006D219C">
              <w:rPr>
                <w:b/>
              </w:rPr>
              <w:t>31</w:t>
            </w:r>
          </w:p>
        </w:tc>
        <w:tc>
          <w:tcPr>
            <w:tcW w:w="603" w:type="pct"/>
            <w:vAlign w:val="center"/>
            <w:hideMark/>
          </w:tcPr>
          <w:p w14:paraId="280EE59D" w14:textId="77777777" w:rsidR="00893351" w:rsidRPr="006D219C" w:rsidRDefault="00893351" w:rsidP="00C043A7">
            <w:pPr>
              <w:pStyle w:val="TableParagraph"/>
              <w:rPr>
                <w:b/>
              </w:rPr>
            </w:pPr>
            <w:r w:rsidRPr="006D219C">
              <w:rPr>
                <w:b/>
              </w:rPr>
              <w:t>105</w:t>
            </w:r>
          </w:p>
        </w:tc>
        <w:tc>
          <w:tcPr>
            <w:tcW w:w="671" w:type="pct"/>
            <w:vAlign w:val="center"/>
            <w:hideMark/>
          </w:tcPr>
          <w:p w14:paraId="5E8B88CE" w14:textId="4304D1DA" w:rsidR="00893351" w:rsidRPr="006D219C" w:rsidRDefault="00893351" w:rsidP="00C043A7">
            <w:pPr>
              <w:pStyle w:val="TableParagraph"/>
              <w:rPr>
                <w:b/>
              </w:rPr>
            </w:pPr>
            <w:r w:rsidRPr="006D219C">
              <w:rPr>
                <w:b/>
              </w:rPr>
              <w:t xml:space="preserve">6.89 </w:t>
            </w:r>
          </w:p>
        </w:tc>
      </w:tr>
      <w:tr w:rsidR="00893351" w:rsidRPr="006D219C" w14:paraId="7D505D0E" w14:textId="77777777" w:rsidTr="00C043A7">
        <w:trPr>
          <w:trHeight w:val="576"/>
        </w:trPr>
        <w:tc>
          <w:tcPr>
            <w:tcW w:w="478" w:type="pct"/>
            <w:vAlign w:val="center"/>
            <w:hideMark/>
          </w:tcPr>
          <w:p w14:paraId="32F468FB" w14:textId="77777777" w:rsidR="00893351" w:rsidRPr="006D219C" w:rsidRDefault="00893351" w:rsidP="00C043A7">
            <w:pPr>
              <w:pStyle w:val="TableParagraph"/>
            </w:pPr>
            <w:r w:rsidRPr="006D219C">
              <w:t>IL</w:t>
            </w:r>
          </w:p>
        </w:tc>
        <w:tc>
          <w:tcPr>
            <w:tcW w:w="1964" w:type="pct"/>
            <w:vAlign w:val="center"/>
            <w:hideMark/>
          </w:tcPr>
          <w:p w14:paraId="656C2C70" w14:textId="77777777" w:rsidR="00893351" w:rsidRPr="006D219C" w:rsidRDefault="00893351" w:rsidP="00C043A7">
            <w:pPr>
              <w:pStyle w:val="TableParagraph"/>
            </w:pPr>
            <w:r w:rsidRPr="006D219C">
              <w:t>Exxon Mobil Oil Corp</w:t>
            </w:r>
          </w:p>
        </w:tc>
        <w:tc>
          <w:tcPr>
            <w:tcW w:w="496" w:type="pct"/>
            <w:vAlign w:val="center"/>
            <w:hideMark/>
          </w:tcPr>
          <w:p w14:paraId="01F1BAEE" w14:textId="2AF3799B" w:rsidR="00893351" w:rsidRPr="006D219C" w:rsidRDefault="00893351" w:rsidP="00C043A7">
            <w:pPr>
              <w:pStyle w:val="TableParagraph"/>
            </w:pPr>
            <w:r w:rsidRPr="006D219C">
              <w:t xml:space="preserve">1,386 </w:t>
            </w:r>
          </w:p>
        </w:tc>
        <w:tc>
          <w:tcPr>
            <w:tcW w:w="788" w:type="pct"/>
            <w:vAlign w:val="center"/>
            <w:hideMark/>
          </w:tcPr>
          <w:p w14:paraId="319CE1B4" w14:textId="77777777" w:rsidR="00893351" w:rsidRPr="006D219C" w:rsidRDefault="00893351" w:rsidP="00C043A7">
            <w:pPr>
              <w:pStyle w:val="TableParagraph"/>
            </w:pPr>
            <w:r w:rsidRPr="006D219C">
              <w:t>13</w:t>
            </w:r>
          </w:p>
        </w:tc>
        <w:tc>
          <w:tcPr>
            <w:tcW w:w="603" w:type="pct"/>
            <w:vAlign w:val="center"/>
            <w:hideMark/>
          </w:tcPr>
          <w:p w14:paraId="6A8B746E" w14:textId="77777777" w:rsidR="00893351" w:rsidRPr="006D219C" w:rsidRDefault="00893351" w:rsidP="00C043A7">
            <w:pPr>
              <w:pStyle w:val="TableParagraph"/>
            </w:pPr>
            <w:r w:rsidRPr="006D219C">
              <w:t>238</w:t>
            </w:r>
          </w:p>
        </w:tc>
        <w:tc>
          <w:tcPr>
            <w:tcW w:w="671" w:type="pct"/>
            <w:vAlign w:val="center"/>
            <w:hideMark/>
          </w:tcPr>
          <w:p w14:paraId="02FEA018" w14:textId="598CE7E1" w:rsidR="00893351" w:rsidRPr="006D219C" w:rsidRDefault="00893351" w:rsidP="00C043A7">
            <w:pPr>
              <w:pStyle w:val="TableParagraph"/>
            </w:pPr>
            <w:r w:rsidRPr="006D219C">
              <w:t xml:space="preserve">5.83 </w:t>
            </w:r>
          </w:p>
        </w:tc>
      </w:tr>
      <w:tr w:rsidR="00893351" w:rsidRPr="006D219C" w14:paraId="6E968839" w14:textId="77777777" w:rsidTr="00C043A7">
        <w:trPr>
          <w:trHeight w:val="576"/>
        </w:trPr>
        <w:tc>
          <w:tcPr>
            <w:tcW w:w="478" w:type="pct"/>
            <w:vAlign w:val="center"/>
            <w:hideMark/>
          </w:tcPr>
          <w:p w14:paraId="0F0EE5F7" w14:textId="77777777" w:rsidR="00893351" w:rsidRPr="006D219C" w:rsidRDefault="00893351" w:rsidP="00C043A7">
            <w:pPr>
              <w:pStyle w:val="TableParagraph"/>
            </w:pPr>
            <w:r w:rsidRPr="006D219C">
              <w:t>LA</w:t>
            </w:r>
          </w:p>
        </w:tc>
        <w:tc>
          <w:tcPr>
            <w:tcW w:w="1964" w:type="pct"/>
            <w:vAlign w:val="center"/>
            <w:hideMark/>
          </w:tcPr>
          <w:p w14:paraId="4998F34C" w14:textId="77777777" w:rsidR="00893351" w:rsidRPr="006D219C" w:rsidRDefault="00893351" w:rsidP="00C043A7">
            <w:pPr>
              <w:pStyle w:val="TableParagraph"/>
            </w:pPr>
            <w:r w:rsidRPr="006D219C">
              <w:t>Phillips 66 Co - Alliance Refinery</w:t>
            </w:r>
          </w:p>
        </w:tc>
        <w:tc>
          <w:tcPr>
            <w:tcW w:w="496" w:type="pct"/>
            <w:vAlign w:val="center"/>
            <w:hideMark/>
          </w:tcPr>
          <w:p w14:paraId="0BBA77CA" w14:textId="148C2242" w:rsidR="00893351" w:rsidRPr="006D219C" w:rsidRDefault="00893351" w:rsidP="00C043A7">
            <w:pPr>
              <w:pStyle w:val="TableParagraph"/>
            </w:pPr>
            <w:r w:rsidRPr="006D219C">
              <w:t xml:space="preserve">1,432 </w:t>
            </w:r>
          </w:p>
        </w:tc>
        <w:tc>
          <w:tcPr>
            <w:tcW w:w="788" w:type="pct"/>
            <w:vAlign w:val="center"/>
            <w:hideMark/>
          </w:tcPr>
          <w:p w14:paraId="0B92374F" w14:textId="77777777" w:rsidR="00893351" w:rsidRPr="006D219C" w:rsidRDefault="00893351" w:rsidP="00C043A7">
            <w:pPr>
              <w:pStyle w:val="TableParagraph"/>
            </w:pPr>
            <w:r w:rsidRPr="006D219C">
              <w:t>12</w:t>
            </w:r>
          </w:p>
        </w:tc>
        <w:tc>
          <w:tcPr>
            <w:tcW w:w="603" w:type="pct"/>
            <w:vAlign w:val="center"/>
            <w:hideMark/>
          </w:tcPr>
          <w:p w14:paraId="03608AA6" w14:textId="77777777" w:rsidR="00893351" w:rsidRPr="006D219C" w:rsidRDefault="00893351" w:rsidP="00C043A7">
            <w:pPr>
              <w:pStyle w:val="TableParagraph"/>
            </w:pPr>
            <w:r w:rsidRPr="006D219C">
              <w:t>253</w:t>
            </w:r>
          </w:p>
        </w:tc>
        <w:tc>
          <w:tcPr>
            <w:tcW w:w="671" w:type="pct"/>
            <w:vAlign w:val="center"/>
            <w:hideMark/>
          </w:tcPr>
          <w:p w14:paraId="29B3B795" w14:textId="5F0AFF50" w:rsidR="00893351" w:rsidRPr="006D219C" w:rsidRDefault="00893351" w:rsidP="00C043A7">
            <w:pPr>
              <w:pStyle w:val="TableParagraph"/>
            </w:pPr>
            <w:r w:rsidRPr="006D219C">
              <w:t xml:space="preserve">5.66 </w:t>
            </w:r>
          </w:p>
        </w:tc>
      </w:tr>
      <w:tr w:rsidR="00893351" w:rsidRPr="006D219C" w14:paraId="335B1CCA" w14:textId="77777777" w:rsidTr="00C043A7">
        <w:trPr>
          <w:trHeight w:val="576"/>
        </w:trPr>
        <w:tc>
          <w:tcPr>
            <w:tcW w:w="478" w:type="pct"/>
            <w:vAlign w:val="center"/>
            <w:hideMark/>
          </w:tcPr>
          <w:p w14:paraId="1FF4DC49" w14:textId="77777777" w:rsidR="00893351" w:rsidRPr="006D219C" w:rsidRDefault="00893351" w:rsidP="00C043A7">
            <w:pPr>
              <w:pStyle w:val="TableParagraph"/>
            </w:pPr>
            <w:r w:rsidRPr="006D219C">
              <w:t>IL</w:t>
            </w:r>
          </w:p>
        </w:tc>
        <w:tc>
          <w:tcPr>
            <w:tcW w:w="1964" w:type="pct"/>
            <w:vAlign w:val="center"/>
            <w:hideMark/>
          </w:tcPr>
          <w:p w14:paraId="0FB38D73" w14:textId="77777777" w:rsidR="00893351" w:rsidRPr="006D219C" w:rsidRDefault="00893351" w:rsidP="00C043A7">
            <w:pPr>
              <w:pStyle w:val="TableParagraph"/>
            </w:pPr>
            <w:r w:rsidRPr="006D219C">
              <w:t>ConocoPhillips Co</w:t>
            </w:r>
          </w:p>
        </w:tc>
        <w:tc>
          <w:tcPr>
            <w:tcW w:w="496" w:type="pct"/>
            <w:vAlign w:val="center"/>
            <w:hideMark/>
          </w:tcPr>
          <w:p w14:paraId="76463FB4" w14:textId="43F188E3" w:rsidR="00893351" w:rsidRPr="006D219C" w:rsidRDefault="00893351" w:rsidP="00C043A7">
            <w:pPr>
              <w:pStyle w:val="TableParagraph"/>
            </w:pPr>
            <w:r w:rsidRPr="006D219C">
              <w:t xml:space="preserve">1,863 </w:t>
            </w:r>
          </w:p>
        </w:tc>
        <w:tc>
          <w:tcPr>
            <w:tcW w:w="788" w:type="pct"/>
            <w:vAlign w:val="center"/>
            <w:hideMark/>
          </w:tcPr>
          <w:p w14:paraId="0006CECF" w14:textId="77777777" w:rsidR="00893351" w:rsidRPr="006D219C" w:rsidRDefault="00893351" w:rsidP="00C043A7">
            <w:pPr>
              <w:pStyle w:val="TableParagraph"/>
            </w:pPr>
            <w:r w:rsidRPr="006D219C">
              <w:t>6</w:t>
            </w:r>
          </w:p>
        </w:tc>
        <w:tc>
          <w:tcPr>
            <w:tcW w:w="603" w:type="pct"/>
            <w:vAlign w:val="center"/>
            <w:hideMark/>
          </w:tcPr>
          <w:p w14:paraId="20389CC4" w14:textId="77777777" w:rsidR="00893351" w:rsidRPr="006D219C" w:rsidRDefault="00893351" w:rsidP="00C043A7">
            <w:pPr>
              <w:pStyle w:val="TableParagraph"/>
            </w:pPr>
            <w:r w:rsidRPr="006D219C">
              <w:t>334</w:t>
            </w:r>
          </w:p>
        </w:tc>
        <w:tc>
          <w:tcPr>
            <w:tcW w:w="671" w:type="pct"/>
            <w:vAlign w:val="center"/>
            <w:hideMark/>
          </w:tcPr>
          <w:p w14:paraId="36E2BC35" w14:textId="241D4ABA" w:rsidR="00893351" w:rsidRPr="006D219C" w:rsidRDefault="00893351" w:rsidP="00C043A7">
            <w:pPr>
              <w:pStyle w:val="TableParagraph"/>
            </w:pPr>
            <w:r w:rsidRPr="006D219C">
              <w:t xml:space="preserve">5.58 </w:t>
            </w:r>
          </w:p>
        </w:tc>
      </w:tr>
      <w:tr w:rsidR="00893351" w:rsidRPr="006D219C" w14:paraId="5930D087" w14:textId="77777777" w:rsidTr="00C043A7">
        <w:trPr>
          <w:trHeight w:val="576"/>
        </w:trPr>
        <w:tc>
          <w:tcPr>
            <w:tcW w:w="478" w:type="pct"/>
            <w:vAlign w:val="center"/>
            <w:hideMark/>
          </w:tcPr>
          <w:p w14:paraId="496C3B90" w14:textId="77777777" w:rsidR="00893351" w:rsidRPr="006D219C" w:rsidRDefault="00893351" w:rsidP="00C043A7">
            <w:pPr>
              <w:pStyle w:val="TableParagraph"/>
            </w:pPr>
            <w:r w:rsidRPr="006D219C">
              <w:t>LA</w:t>
            </w:r>
          </w:p>
        </w:tc>
        <w:tc>
          <w:tcPr>
            <w:tcW w:w="1964" w:type="pct"/>
            <w:vAlign w:val="center"/>
            <w:hideMark/>
          </w:tcPr>
          <w:p w14:paraId="5835D668" w14:textId="77777777" w:rsidR="00893351" w:rsidRPr="006D219C" w:rsidRDefault="00893351" w:rsidP="00C043A7">
            <w:pPr>
              <w:pStyle w:val="TableParagraph"/>
            </w:pPr>
            <w:r w:rsidRPr="006D219C">
              <w:t>Citgo Petroleum Corp - Lake Charles Manufacturing Complex</w:t>
            </w:r>
          </w:p>
        </w:tc>
        <w:tc>
          <w:tcPr>
            <w:tcW w:w="496" w:type="pct"/>
            <w:vAlign w:val="center"/>
            <w:hideMark/>
          </w:tcPr>
          <w:p w14:paraId="246F3E7B" w14:textId="12C88861" w:rsidR="00893351" w:rsidRPr="006D219C" w:rsidRDefault="00893351" w:rsidP="00C043A7">
            <w:pPr>
              <w:pStyle w:val="TableParagraph"/>
            </w:pPr>
            <w:r w:rsidRPr="006D219C">
              <w:t xml:space="preserve">2,197 </w:t>
            </w:r>
          </w:p>
        </w:tc>
        <w:tc>
          <w:tcPr>
            <w:tcW w:w="788" w:type="pct"/>
            <w:vAlign w:val="center"/>
            <w:hideMark/>
          </w:tcPr>
          <w:p w14:paraId="5ABCC155" w14:textId="77777777" w:rsidR="00893351" w:rsidRPr="006D219C" w:rsidRDefault="00893351" w:rsidP="00C043A7">
            <w:pPr>
              <w:pStyle w:val="TableParagraph"/>
            </w:pPr>
            <w:r w:rsidRPr="006D219C">
              <w:t>1</w:t>
            </w:r>
          </w:p>
        </w:tc>
        <w:tc>
          <w:tcPr>
            <w:tcW w:w="603" w:type="pct"/>
            <w:vAlign w:val="center"/>
            <w:hideMark/>
          </w:tcPr>
          <w:p w14:paraId="1651D31E" w14:textId="77777777" w:rsidR="00893351" w:rsidRPr="006D219C" w:rsidRDefault="00893351" w:rsidP="00C043A7">
            <w:pPr>
              <w:pStyle w:val="TableParagraph"/>
            </w:pPr>
            <w:r w:rsidRPr="006D219C">
              <w:t>418</w:t>
            </w:r>
          </w:p>
        </w:tc>
        <w:tc>
          <w:tcPr>
            <w:tcW w:w="671" w:type="pct"/>
            <w:vAlign w:val="center"/>
            <w:hideMark/>
          </w:tcPr>
          <w:p w14:paraId="5C1CD554" w14:textId="3224BDAB" w:rsidR="00893351" w:rsidRPr="006D219C" w:rsidRDefault="00893351" w:rsidP="00C043A7">
            <w:pPr>
              <w:pStyle w:val="TableParagraph"/>
            </w:pPr>
            <w:r w:rsidRPr="006D219C">
              <w:t xml:space="preserve">5.25 </w:t>
            </w:r>
          </w:p>
        </w:tc>
      </w:tr>
      <w:tr w:rsidR="00893351" w:rsidRPr="006D219C" w14:paraId="426000B7" w14:textId="77777777" w:rsidTr="00C043A7">
        <w:trPr>
          <w:trHeight w:val="576"/>
        </w:trPr>
        <w:tc>
          <w:tcPr>
            <w:tcW w:w="478" w:type="pct"/>
            <w:vAlign w:val="center"/>
            <w:hideMark/>
          </w:tcPr>
          <w:p w14:paraId="40BCC327" w14:textId="77777777" w:rsidR="00893351" w:rsidRPr="006D219C" w:rsidRDefault="00893351" w:rsidP="00C043A7">
            <w:pPr>
              <w:pStyle w:val="TableParagraph"/>
            </w:pPr>
            <w:r w:rsidRPr="006D219C">
              <w:t>TX</w:t>
            </w:r>
          </w:p>
        </w:tc>
        <w:tc>
          <w:tcPr>
            <w:tcW w:w="1964" w:type="pct"/>
            <w:vAlign w:val="center"/>
            <w:hideMark/>
          </w:tcPr>
          <w:p w14:paraId="24978F87" w14:textId="3CCC0FE1" w:rsidR="00893351" w:rsidRPr="006D219C" w:rsidRDefault="00893351" w:rsidP="00C043A7">
            <w:pPr>
              <w:pStyle w:val="TableParagraph"/>
            </w:pPr>
            <w:r w:rsidRPr="006D219C">
              <w:t>B</w:t>
            </w:r>
            <w:r w:rsidR="00060544" w:rsidRPr="006D219C">
              <w:t>eaumon</w:t>
            </w:r>
            <w:r w:rsidR="00060544">
              <w:t>t</w:t>
            </w:r>
            <w:r w:rsidRPr="006D219C">
              <w:t xml:space="preserve"> R</w:t>
            </w:r>
            <w:r w:rsidR="00060544" w:rsidRPr="006D219C">
              <w:t>efinery</w:t>
            </w:r>
          </w:p>
        </w:tc>
        <w:tc>
          <w:tcPr>
            <w:tcW w:w="496" w:type="pct"/>
            <w:vAlign w:val="center"/>
            <w:hideMark/>
          </w:tcPr>
          <w:p w14:paraId="6569F825" w14:textId="468D0716" w:rsidR="00893351" w:rsidRPr="006D219C" w:rsidRDefault="00893351" w:rsidP="00C043A7">
            <w:pPr>
              <w:pStyle w:val="TableParagraph"/>
            </w:pPr>
            <w:r w:rsidRPr="006D219C">
              <w:t xml:space="preserve">1,868 </w:t>
            </w:r>
          </w:p>
        </w:tc>
        <w:tc>
          <w:tcPr>
            <w:tcW w:w="788" w:type="pct"/>
            <w:vAlign w:val="center"/>
            <w:hideMark/>
          </w:tcPr>
          <w:p w14:paraId="2D6195EF" w14:textId="77777777" w:rsidR="00893351" w:rsidRPr="006D219C" w:rsidRDefault="00893351" w:rsidP="00C043A7">
            <w:pPr>
              <w:pStyle w:val="TableParagraph"/>
            </w:pPr>
            <w:r w:rsidRPr="006D219C">
              <w:t>5</w:t>
            </w:r>
          </w:p>
        </w:tc>
        <w:tc>
          <w:tcPr>
            <w:tcW w:w="603" w:type="pct"/>
            <w:vAlign w:val="center"/>
            <w:hideMark/>
          </w:tcPr>
          <w:p w14:paraId="13C1BA48" w14:textId="77777777" w:rsidR="00893351" w:rsidRPr="006D219C" w:rsidRDefault="00893351" w:rsidP="00C043A7">
            <w:pPr>
              <w:pStyle w:val="TableParagraph"/>
            </w:pPr>
            <w:r w:rsidRPr="006D219C">
              <w:t>365</w:t>
            </w:r>
          </w:p>
        </w:tc>
        <w:tc>
          <w:tcPr>
            <w:tcW w:w="671" w:type="pct"/>
            <w:vAlign w:val="center"/>
            <w:hideMark/>
          </w:tcPr>
          <w:p w14:paraId="0A142870" w14:textId="2B55B926" w:rsidR="00893351" w:rsidRPr="006D219C" w:rsidRDefault="00893351" w:rsidP="00C043A7">
            <w:pPr>
              <w:pStyle w:val="TableParagraph"/>
            </w:pPr>
            <w:r w:rsidRPr="006D219C">
              <w:t xml:space="preserve">5.12 </w:t>
            </w:r>
          </w:p>
        </w:tc>
      </w:tr>
      <w:tr w:rsidR="00893351" w:rsidRPr="006D219C" w14:paraId="377BF9DA" w14:textId="77777777" w:rsidTr="00C043A7">
        <w:trPr>
          <w:trHeight w:val="576"/>
        </w:trPr>
        <w:tc>
          <w:tcPr>
            <w:tcW w:w="478" w:type="pct"/>
            <w:vAlign w:val="center"/>
            <w:hideMark/>
          </w:tcPr>
          <w:p w14:paraId="780856E0" w14:textId="77777777" w:rsidR="00893351" w:rsidRPr="006D219C" w:rsidRDefault="00893351" w:rsidP="00C043A7">
            <w:pPr>
              <w:pStyle w:val="TableParagraph"/>
            </w:pPr>
            <w:r w:rsidRPr="006D219C">
              <w:t>LA</w:t>
            </w:r>
          </w:p>
        </w:tc>
        <w:tc>
          <w:tcPr>
            <w:tcW w:w="1964" w:type="pct"/>
            <w:vAlign w:val="center"/>
            <w:hideMark/>
          </w:tcPr>
          <w:p w14:paraId="72F9CCE1" w14:textId="77777777" w:rsidR="00893351" w:rsidRPr="006D219C" w:rsidRDefault="00893351" w:rsidP="00C043A7">
            <w:pPr>
              <w:pStyle w:val="TableParagraph"/>
            </w:pPr>
            <w:r w:rsidRPr="006D219C">
              <w:t>ExxonMobil Refinery &amp; Supply Co - Baton Rouge Refinery</w:t>
            </w:r>
          </w:p>
        </w:tc>
        <w:tc>
          <w:tcPr>
            <w:tcW w:w="496" w:type="pct"/>
            <w:vAlign w:val="center"/>
            <w:hideMark/>
          </w:tcPr>
          <w:p w14:paraId="7435B72A" w14:textId="12ACBEB3" w:rsidR="00893351" w:rsidRPr="006D219C" w:rsidRDefault="00893351" w:rsidP="00C043A7">
            <w:pPr>
              <w:pStyle w:val="TableParagraph"/>
            </w:pPr>
            <w:r w:rsidRPr="006D219C">
              <w:t xml:space="preserve">1,944 </w:t>
            </w:r>
          </w:p>
        </w:tc>
        <w:tc>
          <w:tcPr>
            <w:tcW w:w="788" w:type="pct"/>
            <w:vAlign w:val="center"/>
            <w:hideMark/>
          </w:tcPr>
          <w:p w14:paraId="4BC0C7F5" w14:textId="77777777" w:rsidR="00893351" w:rsidRPr="006D219C" w:rsidRDefault="00893351" w:rsidP="00C043A7">
            <w:pPr>
              <w:pStyle w:val="TableParagraph"/>
            </w:pPr>
            <w:r w:rsidRPr="006D219C">
              <w:t>2</w:t>
            </w:r>
          </w:p>
        </w:tc>
        <w:tc>
          <w:tcPr>
            <w:tcW w:w="603" w:type="pct"/>
            <w:vAlign w:val="center"/>
            <w:hideMark/>
          </w:tcPr>
          <w:p w14:paraId="3DC3EC07" w14:textId="77777777" w:rsidR="00893351" w:rsidRPr="006D219C" w:rsidRDefault="00893351" w:rsidP="00C043A7">
            <w:pPr>
              <w:pStyle w:val="TableParagraph"/>
            </w:pPr>
            <w:r w:rsidRPr="006D219C">
              <w:t>540</w:t>
            </w:r>
          </w:p>
        </w:tc>
        <w:tc>
          <w:tcPr>
            <w:tcW w:w="671" w:type="pct"/>
            <w:vAlign w:val="center"/>
            <w:hideMark/>
          </w:tcPr>
          <w:p w14:paraId="2042A335" w14:textId="081C8EFB" w:rsidR="00893351" w:rsidRPr="006D219C" w:rsidRDefault="00893351" w:rsidP="00C043A7">
            <w:pPr>
              <w:pStyle w:val="TableParagraph"/>
            </w:pPr>
            <w:r w:rsidRPr="006D219C">
              <w:t xml:space="preserve">3.60 </w:t>
            </w:r>
          </w:p>
        </w:tc>
      </w:tr>
      <w:tr w:rsidR="00893351" w:rsidRPr="006D219C" w14:paraId="4F0573D5" w14:textId="77777777" w:rsidTr="00C043A7">
        <w:trPr>
          <w:trHeight w:val="576"/>
        </w:trPr>
        <w:tc>
          <w:tcPr>
            <w:tcW w:w="478" w:type="pct"/>
            <w:vAlign w:val="center"/>
            <w:hideMark/>
          </w:tcPr>
          <w:p w14:paraId="2A2CF29E" w14:textId="77777777" w:rsidR="00893351" w:rsidRPr="006D219C" w:rsidRDefault="00893351" w:rsidP="00C043A7">
            <w:pPr>
              <w:pStyle w:val="TableParagraph"/>
            </w:pPr>
            <w:r w:rsidRPr="006D219C">
              <w:t>TX</w:t>
            </w:r>
          </w:p>
        </w:tc>
        <w:tc>
          <w:tcPr>
            <w:tcW w:w="1964" w:type="pct"/>
            <w:vAlign w:val="center"/>
            <w:hideMark/>
          </w:tcPr>
          <w:p w14:paraId="196469BF" w14:textId="1E2ED25E" w:rsidR="00893351" w:rsidRPr="006D219C" w:rsidRDefault="00060544" w:rsidP="00060544">
            <w:pPr>
              <w:pStyle w:val="TableParagraph"/>
            </w:pPr>
            <w:r>
              <w:t>Deer P</w:t>
            </w:r>
            <w:r w:rsidRPr="006D219C">
              <w:t xml:space="preserve">ark </w:t>
            </w:r>
            <w:r>
              <w:t>P</w:t>
            </w:r>
            <w:r w:rsidRPr="006D219C">
              <w:t>lant</w:t>
            </w:r>
          </w:p>
        </w:tc>
        <w:tc>
          <w:tcPr>
            <w:tcW w:w="496" w:type="pct"/>
            <w:vAlign w:val="center"/>
            <w:hideMark/>
          </w:tcPr>
          <w:p w14:paraId="3C398FC4" w14:textId="4AA5DE44" w:rsidR="00893351" w:rsidRPr="006D219C" w:rsidRDefault="00893351" w:rsidP="00C043A7">
            <w:pPr>
              <w:pStyle w:val="TableParagraph"/>
            </w:pPr>
            <w:r w:rsidRPr="006D219C">
              <w:t xml:space="preserve">1,702 </w:t>
            </w:r>
          </w:p>
        </w:tc>
        <w:tc>
          <w:tcPr>
            <w:tcW w:w="788" w:type="pct"/>
            <w:vAlign w:val="center"/>
            <w:hideMark/>
          </w:tcPr>
          <w:p w14:paraId="074D21B5" w14:textId="77777777" w:rsidR="00893351" w:rsidRPr="006D219C" w:rsidRDefault="00893351" w:rsidP="00C043A7">
            <w:pPr>
              <w:pStyle w:val="TableParagraph"/>
            </w:pPr>
            <w:r w:rsidRPr="006D219C">
              <w:t>9</w:t>
            </w:r>
          </w:p>
        </w:tc>
        <w:tc>
          <w:tcPr>
            <w:tcW w:w="603" w:type="pct"/>
            <w:vAlign w:val="center"/>
            <w:hideMark/>
          </w:tcPr>
          <w:p w14:paraId="3512C584" w14:textId="77777777" w:rsidR="00893351" w:rsidRPr="006D219C" w:rsidRDefault="00893351" w:rsidP="00C043A7">
            <w:pPr>
              <w:pStyle w:val="TableParagraph"/>
            </w:pPr>
            <w:r w:rsidRPr="006D219C">
              <w:t>500</w:t>
            </w:r>
          </w:p>
        </w:tc>
        <w:tc>
          <w:tcPr>
            <w:tcW w:w="671" w:type="pct"/>
            <w:vAlign w:val="center"/>
            <w:hideMark/>
          </w:tcPr>
          <w:p w14:paraId="2C302B9A" w14:textId="584CC18D" w:rsidR="00893351" w:rsidRPr="006D219C" w:rsidRDefault="00893351" w:rsidP="00C043A7">
            <w:pPr>
              <w:pStyle w:val="TableParagraph"/>
            </w:pPr>
            <w:r w:rsidRPr="006D219C">
              <w:t xml:space="preserve">3.40 </w:t>
            </w:r>
          </w:p>
        </w:tc>
      </w:tr>
      <w:tr w:rsidR="00893351" w:rsidRPr="006D219C" w14:paraId="013F21B5" w14:textId="77777777" w:rsidTr="00C043A7">
        <w:trPr>
          <w:trHeight w:val="576"/>
        </w:trPr>
        <w:tc>
          <w:tcPr>
            <w:tcW w:w="478" w:type="pct"/>
            <w:vAlign w:val="center"/>
            <w:hideMark/>
          </w:tcPr>
          <w:p w14:paraId="1F3997C2" w14:textId="77777777" w:rsidR="00893351" w:rsidRPr="006D219C" w:rsidRDefault="00893351" w:rsidP="00C043A7">
            <w:pPr>
              <w:pStyle w:val="TableParagraph"/>
            </w:pPr>
            <w:r w:rsidRPr="006D219C">
              <w:t>TX</w:t>
            </w:r>
          </w:p>
        </w:tc>
        <w:tc>
          <w:tcPr>
            <w:tcW w:w="1964" w:type="pct"/>
            <w:vAlign w:val="center"/>
            <w:hideMark/>
          </w:tcPr>
          <w:p w14:paraId="7F7FBE19" w14:textId="34DC44F7" w:rsidR="00893351" w:rsidRPr="006D219C" w:rsidRDefault="00060544" w:rsidP="00060544">
            <w:pPr>
              <w:pStyle w:val="TableParagraph"/>
            </w:pPr>
            <w:r>
              <w:t>B</w:t>
            </w:r>
            <w:r w:rsidRPr="006D219C">
              <w:t xml:space="preserve">aytown </w:t>
            </w:r>
            <w:r>
              <w:t>R</w:t>
            </w:r>
            <w:r w:rsidRPr="006D219C">
              <w:t>efinery</w:t>
            </w:r>
          </w:p>
        </w:tc>
        <w:tc>
          <w:tcPr>
            <w:tcW w:w="496" w:type="pct"/>
            <w:vAlign w:val="center"/>
            <w:hideMark/>
          </w:tcPr>
          <w:p w14:paraId="62ACB001" w14:textId="13AA18D0" w:rsidR="00893351" w:rsidRPr="006D219C" w:rsidRDefault="00893351" w:rsidP="00C043A7">
            <w:pPr>
              <w:pStyle w:val="TableParagraph"/>
            </w:pPr>
            <w:r w:rsidRPr="006D219C">
              <w:t xml:space="preserve">1,828 </w:t>
            </w:r>
          </w:p>
        </w:tc>
        <w:tc>
          <w:tcPr>
            <w:tcW w:w="788" w:type="pct"/>
            <w:vAlign w:val="center"/>
            <w:hideMark/>
          </w:tcPr>
          <w:p w14:paraId="15E8F7FF" w14:textId="77777777" w:rsidR="00893351" w:rsidRPr="006D219C" w:rsidRDefault="00893351" w:rsidP="00C043A7">
            <w:pPr>
              <w:pStyle w:val="TableParagraph"/>
            </w:pPr>
            <w:r w:rsidRPr="006D219C">
              <w:t>8</w:t>
            </w:r>
          </w:p>
        </w:tc>
        <w:tc>
          <w:tcPr>
            <w:tcW w:w="603" w:type="pct"/>
            <w:vAlign w:val="center"/>
            <w:hideMark/>
          </w:tcPr>
          <w:p w14:paraId="257EBF1D" w14:textId="77777777" w:rsidR="00893351" w:rsidRPr="006D219C" w:rsidRDefault="00893351" w:rsidP="00C043A7">
            <w:pPr>
              <w:pStyle w:val="TableParagraph"/>
            </w:pPr>
            <w:r w:rsidRPr="006D219C">
              <w:t>560</w:t>
            </w:r>
          </w:p>
        </w:tc>
        <w:tc>
          <w:tcPr>
            <w:tcW w:w="671" w:type="pct"/>
            <w:vAlign w:val="center"/>
            <w:hideMark/>
          </w:tcPr>
          <w:p w14:paraId="0A768E56" w14:textId="7F86AE30" w:rsidR="00893351" w:rsidRPr="006D219C" w:rsidRDefault="00893351" w:rsidP="00C043A7">
            <w:pPr>
              <w:pStyle w:val="TableParagraph"/>
            </w:pPr>
            <w:r w:rsidRPr="006D219C">
              <w:t xml:space="preserve">3.26 </w:t>
            </w:r>
          </w:p>
        </w:tc>
      </w:tr>
      <w:tr w:rsidR="00893351" w:rsidRPr="006D219C" w14:paraId="29AFC380" w14:textId="77777777" w:rsidTr="00C043A7">
        <w:trPr>
          <w:trHeight w:val="576"/>
        </w:trPr>
        <w:tc>
          <w:tcPr>
            <w:tcW w:w="478" w:type="pct"/>
            <w:vAlign w:val="center"/>
            <w:hideMark/>
          </w:tcPr>
          <w:p w14:paraId="6DFCD386" w14:textId="77777777" w:rsidR="00893351" w:rsidRPr="006D219C" w:rsidRDefault="00893351" w:rsidP="00C043A7">
            <w:pPr>
              <w:pStyle w:val="TableParagraph"/>
              <w:rPr>
                <w:b/>
              </w:rPr>
            </w:pPr>
            <w:r w:rsidRPr="006D219C">
              <w:rPr>
                <w:b/>
              </w:rPr>
              <w:t>WA</w:t>
            </w:r>
          </w:p>
        </w:tc>
        <w:tc>
          <w:tcPr>
            <w:tcW w:w="1964" w:type="pct"/>
            <w:vAlign w:val="center"/>
            <w:hideMark/>
          </w:tcPr>
          <w:p w14:paraId="174BB36B" w14:textId="77777777" w:rsidR="00893351" w:rsidRPr="006D219C" w:rsidRDefault="00893351" w:rsidP="00C043A7">
            <w:pPr>
              <w:pStyle w:val="TableParagraph"/>
              <w:rPr>
                <w:b/>
              </w:rPr>
            </w:pPr>
            <w:r w:rsidRPr="006D219C">
              <w:rPr>
                <w:b/>
              </w:rPr>
              <w:t>US Oil &amp; Refining Co</w:t>
            </w:r>
          </w:p>
        </w:tc>
        <w:tc>
          <w:tcPr>
            <w:tcW w:w="496" w:type="pct"/>
            <w:vAlign w:val="center"/>
            <w:hideMark/>
          </w:tcPr>
          <w:p w14:paraId="4E2ED8ED" w14:textId="6CD56457" w:rsidR="00893351" w:rsidRPr="006D219C" w:rsidRDefault="00893351" w:rsidP="00C043A7">
            <w:pPr>
              <w:pStyle w:val="TableParagraph"/>
              <w:rPr>
                <w:b/>
              </w:rPr>
            </w:pPr>
            <w:r w:rsidRPr="006D219C">
              <w:rPr>
                <w:b/>
              </w:rPr>
              <w:t xml:space="preserve">133 </w:t>
            </w:r>
          </w:p>
        </w:tc>
        <w:tc>
          <w:tcPr>
            <w:tcW w:w="788" w:type="pct"/>
            <w:vAlign w:val="center"/>
            <w:hideMark/>
          </w:tcPr>
          <w:p w14:paraId="7644D9C1" w14:textId="77777777" w:rsidR="00893351" w:rsidRPr="006D219C" w:rsidRDefault="00893351" w:rsidP="00C043A7">
            <w:pPr>
              <w:pStyle w:val="TableParagraph"/>
              <w:rPr>
                <w:b/>
              </w:rPr>
            </w:pPr>
            <w:r w:rsidRPr="006D219C">
              <w:rPr>
                <w:b/>
              </w:rPr>
              <w:t>68</w:t>
            </w:r>
          </w:p>
        </w:tc>
        <w:tc>
          <w:tcPr>
            <w:tcW w:w="603" w:type="pct"/>
            <w:vAlign w:val="center"/>
            <w:hideMark/>
          </w:tcPr>
          <w:p w14:paraId="4A62C343" w14:textId="77777777" w:rsidR="00893351" w:rsidRPr="006D219C" w:rsidRDefault="00893351" w:rsidP="00C043A7">
            <w:pPr>
              <w:pStyle w:val="TableParagraph"/>
              <w:rPr>
                <w:b/>
              </w:rPr>
            </w:pPr>
            <w:r w:rsidRPr="006D219C">
              <w:rPr>
                <w:b/>
              </w:rPr>
              <w:t>41</w:t>
            </w:r>
          </w:p>
        </w:tc>
        <w:tc>
          <w:tcPr>
            <w:tcW w:w="671" w:type="pct"/>
            <w:vAlign w:val="center"/>
            <w:hideMark/>
          </w:tcPr>
          <w:p w14:paraId="49E9CECF" w14:textId="51775604" w:rsidR="00893351" w:rsidRPr="006D219C" w:rsidRDefault="00893351" w:rsidP="00C043A7">
            <w:pPr>
              <w:pStyle w:val="TableParagraph"/>
              <w:rPr>
                <w:b/>
              </w:rPr>
            </w:pPr>
            <w:r w:rsidRPr="006D219C">
              <w:rPr>
                <w:b/>
              </w:rPr>
              <w:t xml:space="preserve">3.24 </w:t>
            </w:r>
          </w:p>
        </w:tc>
      </w:tr>
      <w:tr w:rsidR="00893351" w:rsidRPr="006D219C" w14:paraId="340C5B42" w14:textId="77777777" w:rsidTr="00C043A7">
        <w:trPr>
          <w:trHeight w:val="576"/>
        </w:trPr>
        <w:tc>
          <w:tcPr>
            <w:tcW w:w="478" w:type="pct"/>
            <w:vAlign w:val="center"/>
            <w:hideMark/>
          </w:tcPr>
          <w:p w14:paraId="56EBD958" w14:textId="77777777" w:rsidR="00893351" w:rsidRPr="006D219C" w:rsidRDefault="00893351" w:rsidP="00C043A7">
            <w:pPr>
              <w:pStyle w:val="TableParagraph"/>
            </w:pPr>
            <w:r w:rsidRPr="006D219C">
              <w:t>TX</w:t>
            </w:r>
          </w:p>
        </w:tc>
        <w:tc>
          <w:tcPr>
            <w:tcW w:w="1964" w:type="pct"/>
            <w:vAlign w:val="center"/>
            <w:hideMark/>
          </w:tcPr>
          <w:p w14:paraId="30FDE8A0" w14:textId="4BBBA803" w:rsidR="00893351" w:rsidRPr="006D219C" w:rsidRDefault="00060544" w:rsidP="00060544">
            <w:pPr>
              <w:pStyle w:val="TableParagraph"/>
            </w:pPr>
            <w:r>
              <w:t>P</w:t>
            </w:r>
            <w:r w:rsidRPr="006D219C">
              <w:t xml:space="preserve">ort </w:t>
            </w:r>
            <w:r>
              <w:t>A</w:t>
            </w:r>
            <w:r w:rsidRPr="006D219C">
              <w:t xml:space="preserve">rthur </w:t>
            </w:r>
            <w:r>
              <w:t>R</w:t>
            </w:r>
            <w:r w:rsidRPr="006D219C">
              <w:t>efinery</w:t>
            </w:r>
          </w:p>
        </w:tc>
        <w:tc>
          <w:tcPr>
            <w:tcW w:w="496" w:type="pct"/>
            <w:vAlign w:val="center"/>
            <w:hideMark/>
          </w:tcPr>
          <w:p w14:paraId="17D20BEF" w14:textId="6A2BAD65" w:rsidR="00893351" w:rsidRPr="006D219C" w:rsidRDefault="00893351" w:rsidP="00C043A7">
            <w:pPr>
              <w:pStyle w:val="TableParagraph"/>
            </w:pPr>
            <w:r w:rsidRPr="006D219C">
              <w:t xml:space="preserve">1,858 </w:t>
            </w:r>
          </w:p>
        </w:tc>
        <w:tc>
          <w:tcPr>
            <w:tcW w:w="788" w:type="pct"/>
            <w:vAlign w:val="center"/>
            <w:hideMark/>
          </w:tcPr>
          <w:p w14:paraId="70208013" w14:textId="77777777" w:rsidR="00893351" w:rsidRPr="006D219C" w:rsidRDefault="00893351" w:rsidP="00C043A7">
            <w:pPr>
              <w:pStyle w:val="TableParagraph"/>
            </w:pPr>
            <w:r w:rsidRPr="006D219C">
              <w:t>7</w:t>
            </w:r>
          </w:p>
        </w:tc>
        <w:tc>
          <w:tcPr>
            <w:tcW w:w="603" w:type="pct"/>
            <w:vAlign w:val="center"/>
            <w:hideMark/>
          </w:tcPr>
          <w:p w14:paraId="29DE5835" w14:textId="77777777" w:rsidR="00893351" w:rsidRPr="006D219C" w:rsidRDefault="00893351" w:rsidP="00C043A7">
            <w:pPr>
              <w:pStyle w:val="TableParagraph"/>
            </w:pPr>
            <w:r w:rsidRPr="006D219C">
              <w:t>603</w:t>
            </w:r>
          </w:p>
        </w:tc>
        <w:tc>
          <w:tcPr>
            <w:tcW w:w="671" w:type="pct"/>
            <w:vAlign w:val="center"/>
            <w:hideMark/>
          </w:tcPr>
          <w:p w14:paraId="51EAB41B" w14:textId="28A7E2A5" w:rsidR="00893351" w:rsidRPr="006D219C" w:rsidRDefault="00893351" w:rsidP="00C043A7">
            <w:pPr>
              <w:pStyle w:val="TableParagraph"/>
            </w:pPr>
            <w:r w:rsidRPr="006D219C">
              <w:t xml:space="preserve">3.08 </w:t>
            </w:r>
          </w:p>
        </w:tc>
      </w:tr>
      <w:tr w:rsidR="00893351" w:rsidRPr="006D219C" w14:paraId="169D02BD" w14:textId="77777777" w:rsidTr="00C043A7">
        <w:trPr>
          <w:trHeight w:val="576"/>
        </w:trPr>
        <w:tc>
          <w:tcPr>
            <w:tcW w:w="478" w:type="pct"/>
            <w:vAlign w:val="center"/>
            <w:hideMark/>
          </w:tcPr>
          <w:p w14:paraId="5915B895" w14:textId="77777777" w:rsidR="00893351" w:rsidRPr="006D219C" w:rsidRDefault="00893351" w:rsidP="00C043A7">
            <w:pPr>
              <w:pStyle w:val="TableParagraph"/>
            </w:pPr>
            <w:r w:rsidRPr="006D219C">
              <w:t>TX</w:t>
            </w:r>
          </w:p>
        </w:tc>
        <w:tc>
          <w:tcPr>
            <w:tcW w:w="1964" w:type="pct"/>
            <w:vAlign w:val="center"/>
            <w:hideMark/>
          </w:tcPr>
          <w:p w14:paraId="31572284" w14:textId="6B7EAE38" w:rsidR="00893351" w:rsidRPr="006D219C" w:rsidRDefault="00060544" w:rsidP="00C043A7">
            <w:pPr>
              <w:pStyle w:val="TableParagraph"/>
            </w:pPr>
            <w:r>
              <w:t>Galveston Bay R</w:t>
            </w:r>
            <w:r w:rsidRPr="006D219C">
              <w:t>efinery</w:t>
            </w:r>
          </w:p>
        </w:tc>
        <w:tc>
          <w:tcPr>
            <w:tcW w:w="496" w:type="pct"/>
            <w:vAlign w:val="center"/>
            <w:hideMark/>
          </w:tcPr>
          <w:p w14:paraId="76D3FB7D" w14:textId="4BAE9D72" w:rsidR="00893351" w:rsidRPr="006D219C" w:rsidRDefault="00893351" w:rsidP="00C043A7">
            <w:pPr>
              <w:pStyle w:val="TableParagraph"/>
            </w:pPr>
            <w:r w:rsidRPr="006D219C">
              <w:t xml:space="preserve">1,692 </w:t>
            </w:r>
          </w:p>
        </w:tc>
        <w:tc>
          <w:tcPr>
            <w:tcW w:w="788" w:type="pct"/>
            <w:vAlign w:val="center"/>
            <w:hideMark/>
          </w:tcPr>
          <w:p w14:paraId="3D63ECF0" w14:textId="77777777" w:rsidR="00893351" w:rsidRPr="006D219C" w:rsidRDefault="00893351" w:rsidP="00C043A7">
            <w:pPr>
              <w:pStyle w:val="TableParagraph"/>
            </w:pPr>
            <w:r w:rsidRPr="006D219C">
              <w:t>10</w:t>
            </w:r>
          </w:p>
        </w:tc>
        <w:tc>
          <w:tcPr>
            <w:tcW w:w="603" w:type="pct"/>
            <w:vAlign w:val="center"/>
            <w:hideMark/>
          </w:tcPr>
          <w:p w14:paraId="3D8576D9" w14:textId="77777777" w:rsidR="00893351" w:rsidRPr="006D219C" w:rsidRDefault="00893351" w:rsidP="00C043A7">
            <w:pPr>
              <w:pStyle w:val="TableParagraph"/>
            </w:pPr>
            <w:r w:rsidRPr="006D219C">
              <w:t>571</w:t>
            </w:r>
          </w:p>
        </w:tc>
        <w:tc>
          <w:tcPr>
            <w:tcW w:w="671" w:type="pct"/>
            <w:vAlign w:val="center"/>
            <w:hideMark/>
          </w:tcPr>
          <w:p w14:paraId="442D3D7F" w14:textId="04DAFF86" w:rsidR="00893351" w:rsidRPr="006D219C" w:rsidRDefault="00893351" w:rsidP="00C043A7">
            <w:pPr>
              <w:pStyle w:val="TableParagraph"/>
            </w:pPr>
            <w:r w:rsidRPr="006D219C">
              <w:t xml:space="preserve">2.96 </w:t>
            </w:r>
          </w:p>
        </w:tc>
      </w:tr>
      <w:tr w:rsidR="00893351" w:rsidRPr="006D219C" w14:paraId="7178EC72" w14:textId="77777777" w:rsidTr="00C043A7">
        <w:trPr>
          <w:trHeight w:val="576"/>
        </w:trPr>
        <w:tc>
          <w:tcPr>
            <w:tcW w:w="478" w:type="pct"/>
            <w:vAlign w:val="center"/>
            <w:hideMark/>
          </w:tcPr>
          <w:p w14:paraId="207EB8B8" w14:textId="77777777" w:rsidR="00893351" w:rsidRPr="006D219C" w:rsidRDefault="00893351" w:rsidP="00C043A7">
            <w:pPr>
              <w:pStyle w:val="TableParagraph"/>
            </w:pPr>
            <w:r w:rsidRPr="006D219C">
              <w:t>LA</w:t>
            </w:r>
          </w:p>
        </w:tc>
        <w:tc>
          <w:tcPr>
            <w:tcW w:w="1964" w:type="pct"/>
            <w:vAlign w:val="center"/>
            <w:hideMark/>
          </w:tcPr>
          <w:p w14:paraId="38813D31" w14:textId="77777777" w:rsidR="00893351" w:rsidRPr="006D219C" w:rsidRDefault="00893351" w:rsidP="00C043A7">
            <w:pPr>
              <w:pStyle w:val="TableParagraph"/>
            </w:pPr>
            <w:r w:rsidRPr="006D219C">
              <w:t>Marathon Petroleum Co LP - LA Refining Division - Garyville Refinery</w:t>
            </w:r>
          </w:p>
        </w:tc>
        <w:tc>
          <w:tcPr>
            <w:tcW w:w="496" w:type="pct"/>
            <w:vAlign w:val="center"/>
            <w:hideMark/>
          </w:tcPr>
          <w:p w14:paraId="51154C2E" w14:textId="60897ABD" w:rsidR="00893351" w:rsidRPr="006D219C" w:rsidRDefault="00893351" w:rsidP="00C043A7">
            <w:pPr>
              <w:pStyle w:val="TableParagraph"/>
            </w:pPr>
            <w:r w:rsidRPr="006D219C">
              <w:t xml:space="preserve">1,379 </w:t>
            </w:r>
          </w:p>
        </w:tc>
        <w:tc>
          <w:tcPr>
            <w:tcW w:w="788" w:type="pct"/>
            <w:vAlign w:val="center"/>
            <w:hideMark/>
          </w:tcPr>
          <w:p w14:paraId="39185036" w14:textId="77777777" w:rsidR="00893351" w:rsidRPr="006D219C" w:rsidRDefault="00893351" w:rsidP="00C043A7">
            <w:pPr>
              <w:pStyle w:val="TableParagraph"/>
            </w:pPr>
            <w:r w:rsidRPr="006D219C">
              <w:t>14</w:t>
            </w:r>
          </w:p>
        </w:tc>
        <w:tc>
          <w:tcPr>
            <w:tcW w:w="603" w:type="pct"/>
            <w:vAlign w:val="center"/>
            <w:hideMark/>
          </w:tcPr>
          <w:p w14:paraId="74C9F6BD" w14:textId="77777777" w:rsidR="00893351" w:rsidRPr="006D219C" w:rsidRDefault="00893351" w:rsidP="00C043A7">
            <w:pPr>
              <w:pStyle w:val="TableParagraph"/>
            </w:pPr>
            <w:r w:rsidRPr="006D219C">
              <w:t>564</w:t>
            </w:r>
          </w:p>
        </w:tc>
        <w:tc>
          <w:tcPr>
            <w:tcW w:w="671" w:type="pct"/>
            <w:vAlign w:val="center"/>
            <w:hideMark/>
          </w:tcPr>
          <w:p w14:paraId="030BA9AC" w14:textId="1536944E" w:rsidR="00893351" w:rsidRPr="006D219C" w:rsidRDefault="00893351" w:rsidP="00C043A7">
            <w:pPr>
              <w:pStyle w:val="TableParagraph"/>
            </w:pPr>
            <w:r w:rsidRPr="006D219C">
              <w:t xml:space="preserve">2.45 </w:t>
            </w:r>
          </w:p>
        </w:tc>
      </w:tr>
    </w:tbl>
    <w:p w14:paraId="5B63C56B" w14:textId="77777777" w:rsidR="00893351" w:rsidRDefault="00893351" w:rsidP="00893351">
      <w:pPr>
        <w:spacing w:after="0"/>
      </w:pPr>
      <w:r>
        <w:br w:type="page"/>
      </w:r>
    </w:p>
    <w:p w14:paraId="4BD81E84" w14:textId="4556F4F2" w:rsidR="00893351" w:rsidRDefault="00060544" w:rsidP="004D7D90">
      <w:pPr>
        <w:pStyle w:val="Heading4"/>
      </w:pPr>
      <w:bookmarkStart w:id="160" w:name="_Toc51673400"/>
      <w:bookmarkStart w:id="161" w:name="_Toc51674431"/>
      <w:r>
        <w:lastRenderedPageBreak/>
        <w:t>Initial emission analysis p</w:t>
      </w:r>
      <w:r w:rsidR="0075109F">
        <w:t>lan</w:t>
      </w:r>
      <w:bookmarkEnd w:id="160"/>
      <w:bookmarkEnd w:id="161"/>
    </w:p>
    <w:p w14:paraId="3D1781E0" w14:textId="3B12670B" w:rsidR="00893351" w:rsidRDefault="00893351" w:rsidP="008622A9">
      <w:pPr>
        <w:pStyle w:val="Paragraph"/>
      </w:pPr>
      <w:r>
        <w:t xml:space="preserve">Ecology </w:t>
      </w:r>
      <w:r w:rsidR="00A53E37">
        <w:t>offered</w:t>
      </w:r>
      <w:r>
        <w:t xml:space="preserve"> to enter into</w:t>
      </w:r>
      <w:r w:rsidR="007B6998">
        <w:t xml:space="preserve"> an AO </w:t>
      </w:r>
      <w:r>
        <w:t xml:space="preserve">with each refinery to achieve enforceable </w:t>
      </w:r>
      <w:r w:rsidR="001E255C">
        <w:t>NO</w:t>
      </w:r>
      <w:r w:rsidR="001E255C" w:rsidRPr="001E255C">
        <w:rPr>
          <w:vertAlign w:val="subscript"/>
        </w:rPr>
        <w:t>X</w:t>
      </w:r>
      <w:r>
        <w:t xml:space="preserve"> emission reductions. </w:t>
      </w:r>
      <w:r w:rsidR="00A53E37">
        <w:t xml:space="preserve">We proposed to calculate the total amount of </w:t>
      </w:r>
      <w:r w:rsidR="001E255C">
        <w:t>NO</w:t>
      </w:r>
      <w:r w:rsidR="001E255C" w:rsidRPr="001E255C">
        <w:rPr>
          <w:vertAlign w:val="subscript"/>
        </w:rPr>
        <w:t>X</w:t>
      </w:r>
      <w:r w:rsidR="00A53E37">
        <w:t xml:space="preserve"> reductions for each refinery </w:t>
      </w:r>
      <w:r w:rsidR="00A9469F">
        <w:t xml:space="preserve">achieved </w:t>
      </w:r>
      <w:r w:rsidR="00D85612">
        <w:t>upon implementation of</w:t>
      </w:r>
      <w:r w:rsidR="00A53E37">
        <w:t xml:space="preserve"> Subpart Ja of the National Emissions Standards for Hazardous Air Pollutants (NESHAP).</w:t>
      </w:r>
      <w:r w:rsidDel="00A53E37">
        <w:t xml:space="preserve"> The Ja </w:t>
      </w:r>
      <w:r w:rsidR="001E255C">
        <w:t>NO</w:t>
      </w:r>
      <w:r w:rsidR="001E255C" w:rsidRPr="001E255C">
        <w:rPr>
          <w:vertAlign w:val="subscript"/>
        </w:rPr>
        <w:t>X</w:t>
      </w:r>
      <w:r w:rsidR="00A53E37">
        <w:t xml:space="preserve"> total</w:t>
      </w:r>
      <w:r>
        <w:t xml:space="preserve"> emission values </w:t>
      </w:r>
      <w:r w:rsidR="00A53E37">
        <w:t>would</w:t>
      </w:r>
      <w:r>
        <w:t xml:space="preserve"> be used </w:t>
      </w:r>
      <w:r w:rsidR="00A53E37">
        <w:t>to calculate</w:t>
      </w:r>
      <w:r>
        <w:t xml:space="preserve"> </w:t>
      </w:r>
      <w:r w:rsidR="001E255C">
        <w:t>NO</w:t>
      </w:r>
      <w:r w:rsidR="001E255C" w:rsidRPr="001E255C">
        <w:rPr>
          <w:vertAlign w:val="subscript"/>
        </w:rPr>
        <w:t>X</w:t>
      </w:r>
      <w:r>
        <w:t xml:space="preserve"> emissions </w:t>
      </w:r>
      <w:r w:rsidR="00A53E37">
        <w:t>reductions tha</w:t>
      </w:r>
      <w:r w:rsidR="0018332D">
        <w:t>t would need to occur</w:t>
      </w:r>
      <w:r w:rsidR="00A53E37">
        <w:t xml:space="preserve"> over the remaining implementation periods</w:t>
      </w:r>
      <w:r w:rsidR="001040E0">
        <w:t>.</w:t>
      </w:r>
      <w:r>
        <w:t xml:space="preserve"> The </w:t>
      </w:r>
      <w:r w:rsidR="00A523D6">
        <w:t xml:space="preserve">refinery could meet the calculated </w:t>
      </w:r>
      <w:r w:rsidR="001E255C">
        <w:t>NO</w:t>
      </w:r>
      <w:r w:rsidR="001E255C" w:rsidRPr="001E255C">
        <w:rPr>
          <w:vertAlign w:val="subscript"/>
        </w:rPr>
        <w:t>X</w:t>
      </w:r>
      <w:r>
        <w:t xml:space="preserve"> emission reductions </w:t>
      </w:r>
      <w:r w:rsidR="001040E0">
        <w:t xml:space="preserve">through </w:t>
      </w:r>
      <w:r w:rsidR="00A523D6">
        <w:t>any NO</w:t>
      </w:r>
      <w:r w:rsidR="00A523D6" w:rsidRPr="001E255C">
        <w:rPr>
          <w:vertAlign w:val="subscript"/>
        </w:rPr>
        <w:t>X</w:t>
      </w:r>
      <w:r w:rsidR="00A523D6">
        <w:t xml:space="preserve"> reduction work</w:t>
      </w:r>
      <w:r w:rsidR="001040E0">
        <w:t xml:space="preserve"> and not specifically tied to Ja requirements.</w:t>
      </w:r>
    </w:p>
    <w:p w14:paraId="49DE32A2" w14:textId="3955DC39" w:rsidR="00893351" w:rsidRDefault="00D9775F" w:rsidP="008622A9">
      <w:pPr>
        <w:pStyle w:val="Paragraph"/>
      </w:pPr>
      <w:r>
        <w:t xml:space="preserve">Ecology </w:t>
      </w:r>
      <w:r w:rsidR="00C17507">
        <w:t>met</w:t>
      </w:r>
      <w:r w:rsidR="00893351">
        <w:t xml:space="preserve"> on</w:t>
      </w:r>
      <w:r w:rsidR="001040E0">
        <w:t xml:space="preserve"> September 17, 2019,</w:t>
      </w:r>
      <w:r w:rsidR="00893351">
        <w:t xml:space="preserve"> with the refineries and the Western Stat</w:t>
      </w:r>
      <w:r w:rsidR="00E57614">
        <w:t>es Petroleum Association (WSPA)</w:t>
      </w:r>
      <w:r w:rsidR="00893351">
        <w:t xml:space="preserve"> to discuss this approach. Ecology also discussed at the meeting the option o</w:t>
      </w:r>
      <w:r w:rsidR="00A9469F">
        <w:t>f using a FFA</w:t>
      </w:r>
      <w:r w:rsidR="00893351">
        <w:t xml:space="preserve"> at each facility and not using the Subpart Ja option.</w:t>
      </w:r>
      <w:r w:rsidR="0067717B">
        <w:t xml:space="preserve"> </w:t>
      </w:r>
      <w:r w:rsidR="00893351" w:rsidDel="00D9775F">
        <w:t>Ultimately</w:t>
      </w:r>
      <w:r>
        <w:t>,</w:t>
      </w:r>
      <w:r w:rsidR="00893351">
        <w:t xml:space="preserve"> the refineries </w:t>
      </w:r>
      <w:r w:rsidR="001040E0">
        <w:t>rejected the proffered AO approach, preferring the FFA option.</w:t>
      </w:r>
    </w:p>
    <w:p w14:paraId="6C495CE5" w14:textId="3C48BA91" w:rsidR="00893351" w:rsidRDefault="00893351" w:rsidP="008622A9">
      <w:pPr>
        <w:pStyle w:val="Paragraph"/>
      </w:pPr>
      <w:r>
        <w:t>On November 27, 2019, Ecology requested</w:t>
      </w:r>
      <w:r w:rsidR="003073EB">
        <w:t xml:space="preserve"> that</w:t>
      </w:r>
      <w:r>
        <w:t xml:space="preserve"> the refineries perform a FFA review of equipment at the refineries. Ecology limit</w:t>
      </w:r>
      <w:r w:rsidR="00C17507">
        <w:t>ed</w:t>
      </w:r>
      <w:r>
        <w:t xml:space="preserve"> the scope of the FFA to equipment with large emissions of </w:t>
      </w:r>
      <w:r w:rsidR="001E255C">
        <w:t>NO</w:t>
      </w:r>
      <w:r w:rsidR="001E255C" w:rsidRPr="001E255C">
        <w:rPr>
          <w:vertAlign w:val="subscript"/>
        </w:rPr>
        <w:t>X</w:t>
      </w:r>
      <w:r>
        <w:t xml:space="preserve">. Ecology also limited the scope to facilitate timely returns of the FFA </w:t>
      </w:r>
      <w:r w:rsidR="00A9469F">
        <w:t xml:space="preserve">to fit the timeline for </w:t>
      </w:r>
      <w:r>
        <w:t xml:space="preserve">RH SIP submittal. </w:t>
      </w:r>
      <w:r w:rsidR="00C17507">
        <w:t>We requested</w:t>
      </w:r>
      <w:r>
        <w:t xml:space="preserve"> FFA </w:t>
      </w:r>
      <w:r w:rsidR="00C17507">
        <w:t>for NO</w:t>
      </w:r>
      <w:r w:rsidR="00C17507" w:rsidRPr="00E57614">
        <w:rPr>
          <w:vertAlign w:val="subscript"/>
        </w:rPr>
        <w:t>x</w:t>
      </w:r>
      <w:r w:rsidR="00C17507">
        <w:t xml:space="preserve"> emission reductions </w:t>
      </w:r>
      <w:r>
        <w:t xml:space="preserve">on </w:t>
      </w:r>
      <w:r w:rsidR="00C17507">
        <w:t>specific</w:t>
      </w:r>
      <w:r>
        <w:t xml:space="preserve"> </w:t>
      </w:r>
      <w:r w:rsidR="00C17507">
        <w:t xml:space="preserve">on-site </w:t>
      </w:r>
      <w:r>
        <w:t>pieces of equipment</w:t>
      </w:r>
      <w:r w:rsidR="00C17507">
        <w:t>.</w:t>
      </w:r>
    </w:p>
    <w:p w14:paraId="557DBA8C" w14:textId="0FF3CB1F" w:rsidR="00893351" w:rsidRDefault="00893351" w:rsidP="008622A9">
      <w:pPr>
        <w:pStyle w:val="Paragraph"/>
      </w:pPr>
      <w:r>
        <w:t xml:space="preserve">The refineries requested time extensions to the </w:t>
      </w:r>
      <w:r w:rsidR="003073EB">
        <w:t>FFA request dat</w:t>
      </w:r>
      <w:r>
        <w:t xml:space="preserve">e </w:t>
      </w:r>
      <w:r w:rsidR="00D9775F">
        <w:t xml:space="preserve">and Ecology </w:t>
      </w:r>
      <w:r w:rsidR="00C17507">
        <w:t>extended the</w:t>
      </w:r>
      <w:r w:rsidDel="00A9469F">
        <w:t xml:space="preserve"> </w:t>
      </w:r>
      <w:r>
        <w:t xml:space="preserve">final deadline </w:t>
      </w:r>
      <w:r w:rsidR="00C17507">
        <w:t xml:space="preserve">to </w:t>
      </w:r>
      <w:r>
        <w:t>May 1, 2020</w:t>
      </w:r>
      <w:r w:rsidR="00D9775F">
        <w:t>.</w:t>
      </w:r>
      <w:r w:rsidR="00060544">
        <w:t xml:space="preserve"> </w:t>
      </w:r>
      <w:r>
        <w:t>All of the refineries delivered their FFA’s to Ecology prior to May 1, 2020.</w:t>
      </w:r>
    </w:p>
    <w:p w14:paraId="536A625A" w14:textId="76678B11" w:rsidR="00893351" w:rsidRDefault="00893351" w:rsidP="008622A9">
      <w:pPr>
        <w:pStyle w:val="Paragraph"/>
      </w:pPr>
      <w:r>
        <w:t xml:space="preserve">Two refineries did not submit any information </w:t>
      </w:r>
      <w:r w:rsidR="003073EB">
        <w:t xml:space="preserve">on </w:t>
      </w:r>
      <w:r>
        <w:t>FCCU controls, which are the largest emission source on their sites. The refineries</w:t>
      </w:r>
      <w:r w:rsidR="003073EB">
        <w:t>’</w:t>
      </w:r>
      <w:r>
        <w:t xml:space="preserve"> FFA indicated selective catalytic reduction (SCR) controls were not a cost-effective emissions control. The refineries also indicated that </w:t>
      </w:r>
      <w:r w:rsidR="0019053A">
        <w:t>low-NOx</w:t>
      </w:r>
      <w:r>
        <w:t xml:space="preserve"> burners were either not a cost-effective emissions control or that more extensive and in-depth engineering evaluation would be required to establish costs.</w:t>
      </w:r>
    </w:p>
    <w:p w14:paraId="334BFA34" w14:textId="56AB26B3" w:rsidR="00893351" w:rsidRDefault="00893351" w:rsidP="008622A9">
      <w:pPr>
        <w:pStyle w:val="Paragraph"/>
      </w:pPr>
      <w:r>
        <w:t>Ecology’s initial review of the refineries</w:t>
      </w:r>
      <w:r w:rsidR="003073EB">
        <w:t>’</w:t>
      </w:r>
      <w:r>
        <w:t xml:space="preserve"> FFA on SCR emissions indicated the results deviated from the EPA SCR </w:t>
      </w:r>
      <w:r w:rsidR="00060544">
        <w:t xml:space="preserve">Control </w:t>
      </w:r>
      <w:r>
        <w:t xml:space="preserve">Cost </w:t>
      </w:r>
      <w:r w:rsidR="00060544">
        <w:t>M</w:t>
      </w:r>
      <w:r>
        <w:t xml:space="preserve">anual </w:t>
      </w:r>
      <w:r w:rsidR="00CC09C3">
        <w:t>(EPA Control Cost Manual</w:t>
      </w:r>
      <w:r w:rsidR="00CC09C3" w:rsidDel="00D9775F">
        <w:t>)</w:t>
      </w:r>
      <w:r w:rsidR="00CC09C3">
        <w:t xml:space="preserve"> </w:t>
      </w:r>
      <w:r>
        <w:t>and Excel</w:t>
      </w:r>
      <w:r w:rsidR="00CC09C3">
        <w:t xml:space="preserve"> file. Ecology used the EPA </w:t>
      </w:r>
      <w:r>
        <w:t xml:space="preserve">Control </w:t>
      </w:r>
      <w:r w:rsidR="00BF1DC0">
        <w:t>Cost M</w:t>
      </w:r>
      <w:r>
        <w:t xml:space="preserve">anual </w:t>
      </w:r>
      <w:r w:rsidDel="00D9775F">
        <w:t>to</w:t>
      </w:r>
      <w:r w:rsidR="00CC09C3">
        <w:t xml:space="preserve"> </w:t>
      </w:r>
      <w:r>
        <w:t>evaluate the controls. Ecology’s review indicated that SCR controls were cost-effective for the FCC units and various heaters/boilers. Ecology plans to use the</w:t>
      </w:r>
      <w:r w:rsidR="00CC09C3">
        <w:t xml:space="preserve"> submitted FFA’s and the EPA</w:t>
      </w:r>
      <w:r>
        <w:t xml:space="preserve"> </w:t>
      </w:r>
      <w:r w:rsidR="00CC09C3">
        <w:t xml:space="preserve">Control </w:t>
      </w:r>
      <w:r>
        <w:t>Cost manual as the basis of a RACT determination.</w:t>
      </w:r>
      <w:r w:rsidR="0067717B">
        <w:t xml:space="preserve"> </w:t>
      </w:r>
      <w:r>
        <w:t>This determination allows for the start of rule development for the installation of SCR controls that is</w:t>
      </w:r>
      <w:r w:rsidDel="00A2731F">
        <w:t xml:space="preserve"> </w:t>
      </w:r>
      <w:r>
        <w:t xml:space="preserve">separate from this </w:t>
      </w:r>
      <w:r w:rsidR="00C67AFF">
        <w:t>RH</w:t>
      </w:r>
      <w:r>
        <w:t xml:space="preserve"> </w:t>
      </w:r>
      <w:r w:rsidR="00A2731F">
        <w:t>SIP revision</w:t>
      </w:r>
      <w:r>
        <w:t xml:space="preserve">. Ecology has identified 19 pieces of equipment to consider during the RACT rule development. The expected </w:t>
      </w:r>
      <w:r w:rsidR="001E255C">
        <w:t>NO</w:t>
      </w:r>
      <w:r w:rsidR="001E255C" w:rsidRPr="001E255C">
        <w:rPr>
          <w:vertAlign w:val="subscript"/>
        </w:rPr>
        <w:t>X</w:t>
      </w:r>
      <w:r>
        <w:t xml:space="preserve"> emission reductions would be over 3,800 tpy.</w:t>
      </w:r>
    </w:p>
    <w:p w14:paraId="2A4CA5AF" w14:textId="77777777" w:rsidR="00BB242F" w:rsidRDefault="00BB242F" w:rsidP="008622A9">
      <w:pPr>
        <w:pStyle w:val="Paragraph"/>
        <w:sectPr w:rsidR="00BB242F">
          <w:pgSz w:w="12240" w:h="15840"/>
          <w:pgMar w:top="1440" w:right="1440" w:bottom="1440" w:left="1440" w:header="720" w:footer="720" w:gutter="0"/>
          <w:cols w:space="720"/>
          <w:docGrid w:linePitch="360"/>
        </w:sectPr>
      </w:pPr>
    </w:p>
    <w:p w14:paraId="273799E4" w14:textId="3332434D" w:rsidR="00D9775F" w:rsidRDefault="00893351" w:rsidP="008622A9">
      <w:pPr>
        <w:pStyle w:val="Paragraph"/>
      </w:pPr>
      <w:r>
        <w:lastRenderedPageBreak/>
        <w:t xml:space="preserve">The </w:t>
      </w:r>
      <w:r w:rsidR="00A2731F">
        <w:t>t</w:t>
      </w:r>
      <w:r>
        <w:t>able below lists</w:t>
      </w:r>
      <w:r w:rsidR="00D9775F">
        <w:t>:</w:t>
      </w:r>
    </w:p>
    <w:p w14:paraId="5CF300CC" w14:textId="1DD2CF5A" w:rsidR="00D9775F" w:rsidRDefault="00D9775F" w:rsidP="0074623E">
      <w:pPr>
        <w:pStyle w:val="Paragraph"/>
        <w:numPr>
          <w:ilvl w:val="0"/>
          <w:numId w:val="51"/>
        </w:numPr>
      </w:pPr>
      <w:r>
        <w:t>T</w:t>
      </w:r>
      <w:r w:rsidR="00893351">
        <w:t xml:space="preserve">he identified 19 pieces of equipment </w:t>
      </w:r>
    </w:p>
    <w:p w14:paraId="782DD7FC" w14:textId="3B69633F" w:rsidR="00D9775F" w:rsidRDefault="00D9775F">
      <w:pPr>
        <w:pStyle w:val="Paragraph"/>
        <w:numPr>
          <w:ilvl w:val="0"/>
          <w:numId w:val="51"/>
        </w:numPr>
      </w:pPr>
      <w:r>
        <w:t>T</w:t>
      </w:r>
      <w:r w:rsidR="00893351">
        <w:t>he refinery where the equipment is located</w:t>
      </w:r>
    </w:p>
    <w:p w14:paraId="61D6FF61" w14:textId="08A82437" w:rsidR="00D9775F" w:rsidRDefault="00893351">
      <w:pPr>
        <w:pStyle w:val="Paragraph"/>
        <w:numPr>
          <w:ilvl w:val="0"/>
          <w:numId w:val="51"/>
        </w:numPr>
      </w:pPr>
      <w:r>
        <w:t>Ecology’s</w:t>
      </w:r>
      <w:r w:rsidR="00CC09C3">
        <w:t xml:space="preserve"> $/ton estimate from the EPA</w:t>
      </w:r>
      <w:r>
        <w:t xml:space="preserve"> </w:t>
      </w:r>
      <w:r w:rsidR="00CC09C3">
        <w:t xml:space="preserve">Control </w:t>
      </w:r>
      <w:r>
        <w:t xml:space="preserve">Cost manual (25 </w:t>
      </w:r>
      <w:r w:rsidR="00A2731F">
        <w:t xml:space="preserve">year </w:t>
      </w:r>
      <w:r>
        <w:t>equipment life, 3.25% interest, actual exhaust flow or design heat duty)</w:t>
      </w:r>
    </w:p>
    <w:p w14:paraId="6D49F90D" w14:textId="6424BC54" w:rsidR="00D9775F" w:rsidRDefault="00D9775F">
      <w:pPr>
        <w:pStyle w:val="Paragraph"/>
        <w:numPr>
          <w:ilvl w:val="0"/>
          <w:numId w:val="51"/>
        </w:numPr>
      </w:pPr>
      <w:r>
        <w:t>T</w:t>
      </w:r>
      <w:r w:rsidR="00893351">
        <w:t xml:space="preserve">he refineries FFA supplied cost </w:t>
      </w:r>
    </w:p>
    <w:p w14:paraId="04CA58C3" w14:textId="6CE02857" w:rsidR="00893351" w:rsidRDefault="00D9775F">
      <w:pPr>
        <w:pStyle w:val="Paragraph"/>
        <w:numPr>
          <w:ilvl w:val="0"/>
          <w:numId w:val="51"/>
        </w:numPr>
      </w:pPr>
      <w:r>
        <w:t>The</w:t>
      </w:r>
      <w:r w:rsidR="00893351">
        <w:t xml:space="preserve"> estimated ton per year of </w:t>
      </w:r>
      <w:r w:rsidR="001E255C">
        <w:t>NO</w:t>
      </w:r>
      <w:r w:rsidR="001E255C" w:rsidRPr="001E255C">
        <w:rPr>
          <w:vertAlign w:val="subscript"/>
        </w:rPr>
        <w:t>X</w:t>
      </w:r>
      <w:r w:rsidR="00893351">
        <w:t xml:space="preserve"> reduction calculated from actual emissions and emission reductions</w:t>
      </w:r>
      <w:r w:rsidR="00E57614">
        <w:t xml:space="preserve"> (90 percent</w:t>
      </w:r>
      <w:r w:rsidR="00A2731F">
        <w:t>)</w:t>
      </w:r>
      <w:r w:rsidR="00893351">
        <w:t>.</w:t>
      </w:r>
    </w:p>
    <w:p w14:paraId="427B3DF3" w14:textId="55DC3C8D" w:rsidR="00C95B7B" w:rsidRDefault="00C95B7B" w:rsidP="00810C9B">
      <w:pPr>
        <w:pStyle w:val="Caption"/>
        <w:keepNext/>
        <w:spacing w:after="0"/>
      </w:pPr>
      <w:bookmarkStart w:id="162" w:name="_Toc51675378"/>
      <w:r>
        <w:t xml:space="preserve">Table </w:t>
      </w:r>
      <w:fldSimple w:instr=" SEQ Table \* ARABIC ">
        <w:r w:rsidR="00396A5E">
          <w:t>7</w:t>
        </w:r>
      </w:fldSimple>
      <w:r>
        <w:t xml:space="preserve">: </w:t>
      </w:r>
      <w:r w:rsidRPr="00345D74">
        <w:t xml:space="preserve">Refinery </w:t>
      </w:r>
      <w:r w:rsidR="00E40EF8">
        <w:t>equipment i</w:t>
      </w:r>
      <w:r w:rsidRPr="00345D74">
        <w:t xml:space="preserve">dentified for RACT </w:t>
      </w:r>
      <w:r w:rsidR="00E40EF8">
        <w:t>rule d</w:t>
      </w:r>
      <w:r w:rsidRPr="00345D74">
        <w:t>evelopment</w:t>
      </w:r>
      <w:bookmarkEnd w:id="162"/>
    </w:p>
    <w:tbl>
      <w:tblPr>
        <w:tblStyle w:val="TableGrid"/>
        <w:tblW w:w="10485" w:type="dxa"/>
        <w:tblLayout w:type="fixed"/>
        <w:tblLook w:val="04A0" w:firstRow="1" w:lastRow="0" w:firstColumn="1" w:lastColumn="0" w:noHBand="0" w:noVBand="1"/>
      </w:tblPr>
      <w:tblGrid>
        <w:gridCol w:w="1425"/>
        <w:gridCol w:w="3744"/>
        <w:gridCol w:w="1152"/>
        <w:gridCol w:w="1152"/>
        <w:gridCol w:w="1152"/>
        <w:gridCol w:w="1860"/>
      </w:tblGrid>
      <w:tr w:rsidR="00893351" w:rsidRPr="00D647B0" w14:paraId="23880B14" w14:textId="77777777" w:rsidTr="00C95B7B">
        <w:trPr>
          <w:cantSplit/>
          <w:trHeight w:val="432"/>
          <w:tblHeader/>
        </w:trPr>
        <w:tc>
          <w:tcPr>
            <w:tcW w:w="1425" w:type="dxa"/>
            <w:noWrap/>
            <w:vAlign w:val="center"/>
            <w:hideMark/>
          </w:tcPr>
          <w:p w14:paraId="00F36070" w14:textId="77777777" w:rsidR="00893351" w:rsidRPr="00C95B7B" w:rsidRDefault="00893351" w:rsidP="00C95B7B">
            <w:pPr>
              <w:pStyle w:val="TableParagraph"/>
              <w:rPr>
                <w:b/>
              </w:rPr>
            </w:pPr>
            <w:r w:rsidRPr="00C95B7B">
              <w:rPr>
                <w:b/>
              </w:rPr>
              <w:t>Company</w:t>
            </w:r>
          </w:p>
        </w:tc>
        <w:tc>
          <w:tcPr>
            <w:tcW w:w="3744" w:type="dxa"/>
            <w:noWrap/>
            <w:vAlign w:val="center"/>
            <w:hideMark/>
          </w:tcPr>
          <w:p w14:paraId="13C75426" w14:textId="77777777" w:rsidR="00893351" w:rsidRPr="00C95B7B" w:rsidRDefault="00893351" w:rsidP="00C95B7B">
            <w:pPr>
              <w:pStyle w:val="TableParagraph"/>
              <w:rPr>
                <w:b/>
              </w:rPr>
            </w:pPr>
            <w:r w:rsidRPr="00C95B7B">
              <w:rPr>
                <w:b/>
              </w:rPr>
              <w:t>Equipment</w:t>
            </w:r>
          </w:p>
        </w:tc>
        <w:tc>
          <w:tcPr>
            <w:tcW w:w="1152" w:type="dxa"/>
            <w:noWrap/>
            <w:vAlign w:val="center"/>
            <w:hideMark/>
          </w:tcPr>
          <w:p w14:paraId="60F3F6C4" w14:textId="7A660AE1" w:rsidR="00893351" w:rsidRPr="00C95B7B" w:rsidRDefault="00893351" w:rsidP="00C95B7B">
            <w:pPr>
              <w:pStyle w:val="TableParagraph"/>
              <w:rPr>
                <w:b/>
              </w:rPr>
            </w:pPr>
            <w:r w:rsidRPr="00C95B7B">
              <w:rPr>
                <w:b/>
              </w:rPr>
              <w:t>EPA</w:t>
            </w:r>
            <w:r w:rsidRPr="00C95B7B">
              <w:rPr>
                <w:b/>
              </w:rPr>
              <w:br/>
            </w:r>
            <w:r w:rsidR="003B1ADF">
              <w:rPr>
                <w:b/>
              </w:rPr>
              <w:t>Control Cost Manual</w:t>
            </w:r>
            <w:r w:rsidRPr="00C95B7B">
              <w:rPr>
                <w:b/>
              </w:rPr>
              <w:br/>
              <w:t>$/Ton</w:t>
            </w:r>
          </w:p>
        </w:tc>
        <w:tc>
          <w:tcPr>
            <w:tcW w:w="1152" w:type="dxa"/>
            <w:noWrap/>
            <w:vAlign w:val="center"/>
            <w:hideMark/>
          </w:tcPr>
          <w:p w14:paraId="0A4EB50E" w14:textId="77777777" w:rsidR="00893351" w:rsidRPr="00C95B7B" w:rsidRDefault="00893351" w:rsidP="00C95B7B">
            <w:pPr>
              <w:pStyle w:val="TableParagraph"/>
              <w:rPr>
                <w:b/>
              </w:rPr>
            </w:pPr>
            <w:r w:rsidRPr="00C95B7B">
              <w:rPr>
                <w:b/>
              </w:rPr>
              <w:t>Refinery</w:t>
            </w:r>
            <w:r w:rsidRPr="00C95B7B">
              <w:rPr>
                <w:b/>
              </w:rPr>
              <w:br/>
              <w:t>$/Ton</w:t>
            </w:r>
          </w:p>
        </w:tc>
        <w:tc>
          <w:tcPr>
            <w:tcW w:w="1152" w:type="dxa"/>
            <w:noWrap/>
            <w:vAlign w:val="center"/>
            <w:hideMark/>
          </w:tcPr>
          <w:p w14:paraId="08848ED7" w14:textId="77777777" w:rsidR="00893351" w:rsidRPr="00C95B7B" w:rsidRDefault="00893351" w:rsidP="00C95B7B">
            <w:pPr>
              <w:pStyle w:val="TableParagraph"/>
              <w:rPr>
                <w:b/>
              </w:rPr>
            </w:pPr>
            <w:r w:rsidRPr="00C95B7B">
              <w:rPr>
                <w:b/>
              </w:rPr>
              <w:t>TPY</w:t>
            </w:r>
            <w:r w:rsidRPr="00C95B7B">
              <w:rPr>
                <w:b/>
              </w:rPr>
              <w:br/>
              <w:t>Reduced</w:t>
            </w:r>
          </w:p>
        </w:tc>
        <w:tc>
          <w:tcPr>
            <w:tcW w:w="1860" w:type="dxa"/>
            <w:noWrap/>
            <w:vAlign w:val="center"/>
            <w:hideMark/>
          </w:tcPr>
          <w:p w14:paraId="60687CC9" w14:textId="77777777" w:rsidR="00893351" w:rsidRPr="00C95B7B" w:rsidRDefault="00893351" w:rsidP="00C95B7B">
            <w:pPr>
              <w:pStyle w:val="TableParagraph"/>
              <w:rPr>
                <w:b/>
              </w:rPr>
            </w:pPr>
            <w:r w:rsidRPr="00C95B7B">
              <w:rPr>
                <w:b/>
              </w:rPr>
              <w:t>Comment</w:t>
            </w:r>
          </w:p>
        </w:tc>
      </w:tr>
      <w:tr w:rsidR="00893351" w:rsidRPr="00D647B0" w14:paraId="3DAD8812" w14:textId="77777777" w:rsidTr="00C95B7B">
        <w:trPr>
          <w:trHeight w:val="432"/>
        </w:trPr>
        <w:tc>
          <w:tcPr>
            <w:tcW w:w="1425" w:type="dxa"/>
            <w:noWrap/>
            <w:vAlign w:val="center"/>
            <w:hideMark/>
          </w:tcPr>
          <w:p w14:paraId="351DD2DC" w14:textId="77777777" w:rsidR="00893351" w:rsidRPr="00D647B0" w:rsidRDefault="00893351" w:rsidP="00C95B7B">
            <w:pPr>
              <w:pStyle w:val="TableParagraph"/>
            </w:pPr>
            <w:r w:rsidRPr="00D647B0">
              <w:t xml:space="preserve">BP </w:t>
            </w:r>
          </w:p>
        </w:tc>
        <w:tc>
          <w:tcPr>
            <w:tcW w:w="3744" w:type="dxa"/>
            <w:noWrap/>
            <w:vAlign w:val="center"/>
            <w:hideMark/>
          </w:tcPr>
          <w:p w14:paraId="542F1E88" w14:textId="2426E12A" w:rsidR="00893351" w:rsidRPr="00D647B0" w:rsidRDefault="00893351" w:rsidP="00C95B7B">
            <w:pPr>
              <w:pStyle w:val="TableParagraph"/>
            </w:pPr>
            <w:r w:rsidRPr="00D647B0">
              <w:t xml:space="preserve">#1 </w:t>
            </w:r>
            <w:r w:rsidR="00AD793C" w:rsidRPr="00D647B0">
              <w:t>reformer heaters</w:t>
            </w:r>
          </w:p>
        </w:tc>
        <w:tc>
          <w:tcPr>
            <w:tcW w:w="1152" w:type="dxa"/>
            <w:noWrap/>
            <w:vAlign w:val="center"/>
            <w:hideMark/>
          </w:tcPr>
          <w:p w14:paraId="2EB334BA" w14:textId="77777777" w:rsidR="00893351" w:rsidRPr="00D647B0" w:rsidRDefault="00893351" w:rsidP="00C95B7B">
            <w:pPr>
              <w:pStyle w:val="TableParagraph"/>
            </w:pPr>
            <w:r w:rsidRPr="00D647B0">
              <w:t xml:space="preserve">3,601 </w:t>
            </w:r>
          </w:p>
        </w:tc>
        <w:tc>
          <w:tcPr>
            <w:tcW w:w="1152" w:type="dxa"/>
            <w:noWrap/>
            <w:vAlign w:val="center"/>
            <w:hideMark/>
          </w:tcPr>
          <w:p w14:paraId="2BFA9DEF" w14:textId="77777777" w:rsidR="00893351" w:rsidRPr="00D647B0" w:rsidRDefault="00893351" w:rsidP="00C95B7B">
            <w:pPr>
              <w:pStyle w:val="TableParagraph"/>
            </w:pPr>
            <w:r w:rsidRPr="00D647B0">
              <w:t xml:space="preserve">24,378 </w:t>
            </w:r>
          </w:p>
        </w:tc>
        <w:tc>
          <w:tcPr>
            <w:tcW w:w="1152" w:type="dxa"/>
            <w:noWrap/>
            <w:vAlign w:val="center"/>
            <w:hideMark/>
          </w:tcPr>
          <w:p w14:paraId="4889B5E9" w14:textId="77777777" w:rsidR="00893351" w:rsidRPr="00D647B0" w:rsidRDefault="00893351" w:rsidP="00C95B7B">
            <w:pPr>
              <w:pStyle w:val="TableParagraph"/>
            </w:pPr>
            <w:r w:rsidRPr="00D647B0">
              <w:t xml:space="preserve">304 </w:t>
            </w:r>
          </w:p>
        </w:tc>
        <w:tc>
          <w:tcPr>
            <w:tcW w:w="1860" w:type="dxa"/>
            <w:noWrap/>
            <w:vAlign w:val="center"/>
            <w:hideMark/>
          </w:tcPr>
          <w:p w14:paraId="66148E8C" w14:textId="77777777" w:rsidR="00893351" w:rsidRPr="00D647B0" w:rsidRDefault="00893351" w:rsidP="00C95B7B">
            <w:pPr>
              <w:pStyle w:val="TableParagraph"/>
            </w:pPr>
            <w:r w:rsidRPr="00D647B0">
              <w:t> </w:t>
            </w:r>
          </w:p>
        </w:tc>
      </w:tr>
      <w:tr w:rsidR="00893351" w:rsidRPr="00D647B0" w14:paraId="6197F4F2" w14:textId="77777777" w:rsidTr="00C95B7B">
        <w:trPr>
          <w:trHeight w:val="432"/>
        </w:trPr>
        <w:tc>
          <w:tcPr>
            <w:tcW w:w="1425" w:type="dxa"/>
            <w:noWrap/>
            <w:vAlign w:val="center"/>
            <w:hideMark/>
          </w:tcPr>
          <w:p w14:paraId="4549F401" w14:textId="77777777" w:rsidR="00893351" w:rsidRPr="00D647B0" w:rsidRDefault="00893351" w:rsidP="00C95B7B">
            <w:pPr>
              <w:pStyle w:val="TableParagraph"/>
            </w:pPr>
            <w:r w:rsidRPr="00D647B0">
              <w:t xml:space="preserve">BP </w:t>
            </w:r>
          </w:p>
        </w:tc>
        <w:tc>
          <w:tcPr>
            <w:tcW w:w="3744" w:type="dxa"/>
            <w:noWrap/>
            <w:vAlign w:val="center"/>
            <w:hideMark/>
          </w:tcPr>
          <w:p w14:paraId="41229F8F" w14:textId="157C222A" w:rsidR="00893351" w:rsidRPr="00D647B0" w:rsidRDefault="00AD793C" w:rsidP="00C95B7B">
            <w:pPr>
              <w:pStyle w:val="TableParagraph"/>
            </w:pPr>
            <w:r w:rsidRPr="00D647B0">
              <w:t>Crude heater</w:t>
            </w:r>
          </w:p>
        </w:tc>
        <w:tc>
          <w:tcPr>
            <w:tcW w:w="1152" w:type="dxa"/>
            <w:noWrap/>
            <w:vAlign w:val="center"/>
            <w:hideMark/>
          </w:tcPr>
          <w:p w14:paraId="684FF894" w14:textId="77777777" w:rsidR="00893351" w:rsidRPr="00D647B0" w:rsidRDefault="00893351" w:rsidP="00C95B7B">
            <w:pPr>
              <w:pStyle w:val="TableParagraph"/>
            </w:pPr>
            <w:r w:rsidRPr="00D647B0">
              <w:t xml:space="preserve">2,579 </w:t>
            </w:r>
          </w:p>
        </w:tc>
        <w:tc>
          <w:tcPr>
            <w:tcW w:w="1152" w:type="dxa"/>
            <w:noWrap/>
            <w:vAlign w:val="center"/>
            <w:hideMark/>
          </w:tcPr>
          <w:p w14:paraId="5F00387B" w14:textId="77777777" w:rsidR="00893351" w:rsidRPr="00D647B0" w:rsidRDefault="00893351" w:rsidP="00C95B7B">
            <w:pPr>
              <w:pStyle w:val="TableParagraph"/>
            </w:pPr>
            <w:r w:rsidRPr="00D647B0">
              <w:t xml:space="preserve">24,378 </w:t>
            </w:r>
          </w:p>
        </w:tc>
        <w:tc>
          <w:tcPr>
            <w:tcW w:w="1152" w:type="dxa"/>
            <w:noWrap/>
            <w:vAlign w:val="center"/>
            <w:hideMark/>
          </w:tcPr>
          <w:p w14:paraId="2683A40C" w14:textId="77777777" w:rsidR="00893351" w:rsidRPr="00D647B0" w:rsidRDefault="00893351" w:rsidP="00C95B7B">
            <w:pPr>
              <w:pStyle w:val="TableParagraph"/>
            </w:pPr>
            <w:r w:rsidRPr="00D647B0">
              <w:t xml:space="preserve">393 </w:t>
            </w:r>
          </w:p>
        </w:tc>
        <w:tc>
          <w:tcPr>
            <w:tcW w:w="1860" w:type="dxa"/>
            <w:noWrap/>
            <w:vAlign w:val="center"/>
            <w:hideMark/>
          </w:tcPr>
          <w:p w14:paraId="23392046" w14:textId="77777777" w:rsidR="00893351" w:rsidRPr="00D647B0" w:rsidRDefault="00893351" w:rsidP="00C95B7B">
            <w:pPr>
              <w:pStyle w:val="TableParagraph"/>
            </w:pPr>
            <w:r w:rsidRPr="00D647B0">
              <w:t> </w:t>
            </w:r>
          </w:p>
        </w:tc>
      </w:tr>
      <w:tr w:rsidR="00893351" w:rsidRPr="00D647B0" w14:paraId="594FD073" w14:textId="77777777" w:rsidTr="00C95B7B">
        <w:trPr>
          <w:trHeight w:val="432"/>
        </w:trPr>
        <w:tc>
          <w:tcPr>
            <w:tcW w:w="1425" w:type="dxa"/>
            <w:noWrap/>
            <w:vAlign w:val="center"/>
            <w:hideMark/>
          </w:tcPr>
          <w:p w14:paraId="1D9CC7C0" w14:textId="77777777" w:rsidR="00893351" w:rsidRPr="00D647B0" w:rsidRDefault="00893351" w:rsidP="00C95B7B">
            <w:pPr>
              <w:pStyle w:val="TableParagraph"/>
            </w:pPr>
            <w:r w:rsidRPr="00D647B0">
              <w:t xml:space="preserve">BP </w:t>
            </w:r>
          </w:p>
        </w:tc>
        <w:tc>
          <w:tcPr>
            <w:tcW w:w="3744" w:type="dxa"/>
            <w:noWrap/>
            <w:vAlign w:val="center"/>
            <w:hideMark/>
          </w:tcPr>
          <w:p w14:paraId="22A7D071" w14:textId="2F063523" w:rsidR="00893351" w:rsidRPr="00D647B0" w:rsidRDefault="00AD793C" w:rsidP="00C95B7B">
            <w:pPr>
              <w:pStyle w:val="TableParagraph"/>
            </w:pPr>
            <w:r w:rsidRPr="00D647B0">
              <w:t xml:space="preserve">Reforming furnace </w:t>
            </w:r>
            <w:r w:rsidR="00893351" w:rsidRPr="00D647B0">
              <w:t xml:space="preserve">#1 (N H2 </w:t>
            </w:r>
            <w:r w:rsidRPr="00D647B0">
              <w:t>plant</w:t>
            </w:r>
            <w:r w:rsidR="00893351" w:rsidRPr="00D647B0">
              <w:t>)</w:t>
            </w:r>
          </w:p>
        </w:tc>
        <w:tc>
          <w:tcPr>
            <w:tcW w:w="1152" w:type="dxa"/>
            <w:noWrap/>
            <w:vAlign w:val="center"/>
            <w:hideMark/>
          </w:tcPr>
          <w:p w14:paraId="1AF441AA" w14:textId="77777777" w:rsidR="00893351" w:rsidRPr="00D647B0" w:rsidRDefault="00893351" w:rsidP="00C95B7B">
            <w:pPr>
              <w:pStyle w:val="TableParagraph"/>
            </w:pPr>
            <w:r w:rsidRPr="00D647B0">
              <w:t>5,060</w:t>
            </w:r>
          </w:p>
        </w:tc>
        <w:tc>
          <w:tcPr>
            <w:tcW w:w="1152" w:type="dxa"/>
            <w:noWrap/>
            <w:vAlign w:val="center"/>
            <w:hideMark/>
          </w:tcPr>
          <w:p w14:paraId="2787DC98" w14:textId="77777777" w:rsidR="00893351" w:rsidRPr="00D647B0" w:rsidRDefault="00893351" w:rsidP="00C95B7B">
            <w:pPr>
              <w:pStyle w:val="TableParagraph"/>
            </w:pPr>
            <w:r w:rsidRPr="00D647B0">
              <w:t xml:space="preserve">78,065 </w:t>
            </w:r>
          </w:p>
        </w:tc>
        <w:tc>
          <w:tcPr>
            <w:tcW w:w="1152" w:type="dxa"/>
            <w:noWrap/>
            <w:vAlign w:val="center"/>
            <w:hideMark/>
          </w:tcPr>
          <w:p w14:paraId="222671C9" w14:textId="77777777" w:rsidR="00893351" w:rsidRPr="00D647B0" w:rsidRDefault="00893351" w:rsidP="00C95B7B">
            <w:pPr>
              <w:pStyle w:val="TableParagraph"/>
            </w:pPr>
            <w:r w:rsidRPr="00D647B0">
              <w:t xml:space="preserve">262 </w:t>
            </w:r>
          </w:p>
        </w:tc>
        <w:tc>
          <w:tcPr>
            <w:tcW w:w="1860" w:type="dxa"/>
            <w:noWrap/>
            <w:vAlign w:val="center"/>
            <w:hideMark/>
          </w:tcPr>
          <w:p w14:paraId="37E7F932" w14:textId="77777777" w:rsidR="00893351" w:rsidRPr="00D647B0" w:rsidRDefault="00893351" w:rsidP="00C95B7B">
            <w:pPr>
              <w:pStyle w:val="TableParagraph"/>
            </w:pPr>
            <w:r w:rsidRPr="00D647B0">
              <w:t>Combined N &amp; S</w:t>
            </w:r>
          </w:p>
        </w:tc>
      </w:tr>
      <w:tr w:rsidR="00893351" w:rsidRPr="00D647B0" w14:paraId="74105FF3" w14:textId="77777777" w:rsidTr="00C95B7B">
        <w:trPr>
          <w:trHeight w:val="432"/>
        </w:trPr>
        <w:tc>
          <w:tcPr>
            <w:tcW w:w="1425" w:type="dxa"/>
            <w:noWrap/>
            <w:vAlign w:val="center"/>
            <w:hideMark/>
          </w:tcPr>
          <w:p w14:paraId="65FCAB16" w14:textId="77777777" w:rsidR="00893351" w:rsidRPr="00D647B0" w:rsidRDefault="00893351" w:rsidP="00C95B7B">
            <w:pPr>
              <w:pStyle w:val="TableParagraph"/>
            </w:pPr>
            <w:r w:rsidRPr="00D647B0">
              <w:t xml:space="preserve">BP </w:t>
            </w:r>
          </w:p>
        </w:tc>
        <w:tc>
          <w:tcPr>
            <w:tcW w:w="3744" w:type="dxa"/>
            <w:noWrap/>
            <w:vAlign w:val="center"/>
            <w:hideMark/>
          </w:tcPr>
          <w:p w14:paraId="293C46A2" w14:textId="02477D7B" w:rsidR="00893351" w:rsidRPr="00D647B0" w:rsidRDefault="00AD793C" w:rsidP="00C95B7B">
            <w:pPr>
              <w:pStyle w:val="TableParagraph"/>
            </w:pPr>
            <w:r w:rsidRPr="00D647B0">
              <w:t xml:space="preserve">Reforming furnace </w:t>
            </w:r>
            <w:r w:rsidR="00893351" w:rsidRPr="00D647B0">
              <w:t xml:space="preserve">#2 (S H2 </w:t>
            </w:r>
            <w:r w:rsidRPr="00D647B0">
              <w:t>plant</w:t>
            </w:r>
            <w:r w:rsidR="00893351" w:rsidRPr="00D647B0">
              <w:t>)</w:t>
            </w:r>
          </w:p>
        </w:tc>
        <w:tc>
          <w:tcPr>
            <w:tcW w:w="1152" w:type="dxa"/>
            <w:noWrap/>
            <w:vAlign w:val="center"/>
            <w:hideMark/>
          </w:tcPr>
          <w:p w14:paraId="086E6DF3" w14:textId="77777777" w:rsidR="00893351" w:rsidRPr="00D647B0" w:rsidRDefault="00893351" w:rsidP="00C95B7B">
            <w:pPr>
              <w:pStyle w:val="TableParagraph"/>
            </w:pPr>
            <w:r w:rsidRPr="00D647B0">
              <w:t>---</w:t>
            </w:r>
          </w:p>
        </w:tc>
        <w:tc>
          <w:tcPr>
            <w:tcW w:w="1152" w:type="dxa"/>
            <w:noWrap/>
            <w:vAlign w:val="center"/>
            <w:hideMark/>
          </w:tcPr>
          <w:p w14:paraId="0F7CC67E" w14:textId="77777777" w:rsidR="00893351" w:rsidRPr="00D647B0" w:rsidRDefault="00893351" w:rsidP="00C95B7B">
            <w:pPr>
              <w:pStyle w:val="TableParagraph"/>
            </w:pPr>
            <w:r w:rsidRPr="00D647B0">
              <w:t>---</w:t>
            </w:r>
          </w:p>
        </w:tc>
        <w:tc>
          <w:tcPr>
            <w:tcW w:w="1152" w:type="dxa"/>
            <w:noWrap/>
            <w:vAlign w:val="center"/>
            <w:hideMark/>
          </w:tcPr>
          <w:p w14:paraId="40D780A1" w14:textId="77777777" w:rsidR="00893351" w:rsidRPr="00D647B0" w:rsidRDefault="00893351" w:rsidP="00C95B7B">
            <w:pPr>
              <w:pStyle w:val="TableParagraph"/>
            </w:pPr>
            <w:r w:rsidRPr="00D647B0">
              <w:t> ---</w:t>
            </w:r>
          </w:p>
        </w:tc>
        <w:tc>
          <w:tcPr>
            <w:tcW w:w="1860" w:type="dxa"/>
            <w:noWrap/>
            <w:vAlign w:val="center"/>
            <w:hideMark/>
          </w:tcPr>
          <w:p w14:paraId="266E6473" w14:textId="77777777" w:rsidR="00893351" w:rsidRPr="00D647B0" w:rsidRDefault="00893351" w:rsidP="00C95B7B">
            <w:pPr>
              <w:pStyle w:val="TableParagraph"/>
            </w:pPr>
            <w:r w:rsidRPr="00D647B0">
              <w:t> </w:t>
            </w:r>
          </w:p>
        </w:tc>
      </w:tr>
      <w:tr w:rsidR="00893351" w:rsidRPr="00D647B0" w14:paraId="0260B932" w14:textId="77777777" w:rsidTr="00C95B7B">
        <w:trPr>
          <w:trHeight w:val="432"/>
        </w:trPr>
        <w:tc>
          <w:tcPr>
            <w:tcW w:w="1425" w:type="dxa"/>
            <w:noWrap/>
            <w:vAlign w:val="center"/>
            <w:hideMark/>
          </w:tcPr>
          <w:p w14:paraId="333DD4C1" w14:textId="798AA36A" w:rsidR="00893351" w:rsidRPr="00D647B0" w:rsidRDefault="00AD793C" w:rsidP="00C95B7B">
            <w:pPr>
              <w:pStyle w:val="TableParagraph"/>
            </w:pPr>
            <w:r w:rsidRPr="00D647B0">
              <w:t xml:space="preserve">Phillips </w:t>
            </w:r>
            <w:r w:rsidR="00893351" w:rsidRPr="00D647B0">
              <w:t>66</w:t>
            </w:r>
          </w:p>
        </w:tc>
        <w:tc>
          <w:tcPr>
            <w:tcW w:w="3744" w:type="dxa"/>
            <w:noWrap/>
            <w:vAlign w:val="center"/>
            <w:hideMark/>
          </w:tcPr>
          <w:p w14:paraId="6617C41B" w14:textId="66998F6F" w:rsidR="00893351" w:rsidRPr="00D647B0" w:rsidRDefault="00AD793C" w:rsidP="00C95B7B">
            <w:pPr>
              <w:pStyle w:val="TableParagraph"/>
            </w:pPr>
            <w:r w:rsidRPr="00D647B0">
              <w:t xml:space="preserve">Crude heater </w:t>
            </w:r>
            <w:r w:rsidR="00893351" w:rsidRPr="00D647B0">
              <w:t>1F-1</w:t>
            </w:r>
          </w:p>
        </w:tc>
        <w:tc>
          <w:tcPr>
            <w:tcW w:w="1152" w:type="dxa"/>
            <w:noWrap/>
            <w:vAlign w:val="center"/>
            <w:hideMark/>
          </w:tcPr>
          <w:p w14:paraId="38CB3167" w14:textId="77777777" w:rsidR="00893351" w:rsidRPr="00D647B0" w:rsidRDefault="00893351" w:rsidP="00C95B7B">
            <w:pPr>
              <w:pStyle w:val="TableParagraph"/>
            </w:pPr>
            <w:r w:rsidRPr="00D647B0">
              <w:t xml:space="preserve">2,651 </w:t>
            </w:r>
          </w:p>
        </w:tc>
        <w:tc>
          <w:tcPr>
            <w:tcW w:w="1152" w:type="dxa"/>
            <w:noWrap/>
            <w:vAlign w:val="center"/>
            <w:hideMark/>
          </w:tcPr>
          <w:p w14:paraId="6632FDFA" w14:textId="77777777" w:rsidR="00893351" w:rsidRPr="00D647B0" w:rsidRDefault="00893351" w:rsidP="00C95B7B">
            <w:pPr>
              <w:pStyle w:val="TableParagraph"/>
            </w:pPr>
            <w:r w:rsidRPr="00D647B0">
              <w:t xml:space="preserve">12,225 </w:t>
            </w:r>
          </w:p>
        </w:tc>
        <w:tc>
          <w:tcPr>
            <w:tcW w:w="1152" w:type="dxa"/>
            <w:noWrap/>
            <w:vAlign w:val="center"/>
            <w:hideMark/>
          </w:tcPr>
          <w:p w14:paraId="4D465D8D" w14:textId="77777777" w:rsidR="00893351" w:rsidRPr="00D647B0" w:rsidRDefault="00893351" w:rsidP="00C95B7B">
            <w:pPr>
              <w:pStyle w:val="TableParagraph"/>
            </w:pPr>
            <w:r w:rsidRPr="00D647B0">
              <w:t xml:space="preserve">166 </w:t>
            </w:r>
          </w:p>
        </w:tc>
        <w:tc>
          <w:tcPr>
            <w:tcW w:w="1860" w:type="dxa"/>
            <w:noWrap/>
            <w:vAlign w:val="center"/>
            <w:hideMark/>
          </w:tcPr>
          <w:p w14:paraId="1F7FBC1F" w14:textId="77777777" w:rsidR="00893351" w:rsidRPr="00D647B0" w:rsidRDefault="00893351" w:rsidP="00C95B7B">
            <w:pPr>
              <w:pStyle w:val="TableParagraph"/>
            </w:pPr>
            <w:r w:rsidRPr="00D647B0">
              <w:t> </w:t>
            </w:r>
          </w:p>
        </w:tc>
      </w:tr>
      <w:tr w:rsidR="00893351" w:rsidRPr="00D647B0" w14:paraId="00CDB247" w14:textId="77777777" w:rsidTr="00C95B7B">
        <w:trPr>
          <w:trHeight w:val="432"/>
        </w:trPr>
        <w:tc>
          <w:tcPr>
            <w:tcW w:w="1425" w:type="dxa"/>
            <w:noWrap/>
            <w:vAlign w:val="center"/>
            <w:hideMark/>
          </w:tcPr>
          <w:p w14:paraId="53AD7506" w14:textId="46BAC908" w:rsidR="00893351" w:rsidRPr="00D647B0" w:rsidRDefault="00AD793C" w:rsidP="00C95B7B">
            <w:pPr>
              <w:pStyle w:val="TableParagraph"/>
            </w:pPr>
            <w:r w:rsidRPr="00D647B0">
              <w:t xml:space="preserve">Phillips </w:t>
            </w:r>
            <w:r w:rsidR="00893351" w:rsidRPr="00D647B0">
              <w:t>66</w:t>
            </w:r>
          </w:p>
        </w:tc>
        <w:tc>
          <w:tcPr>
            <w:tcW w:w="3744" w:type="dxa"/>
            <w:noWrap/>
            <w:vAlign w:val="center"/>
            <w:hideMark/>
          </w:tcPr>
          <w:p w14:paraId="406F5A6C" w14:textId="77777777" w:rsidR="00893351" w:rsidRPr="00D647B0" w:rsidRDefault="00893351" w:rsidP="00C95B7B">
            <w:pPr>
              <w:pStyle w:val="TableParagraph"/>
            </w:pPr>
            <w:r w:rsidRPr="00D647B0">
              <w:t>FCCU/CO Boiler/Wet Gas Scrubber 4F-100, 4F-101</w:t>
            </w:r>
          </w:p>
        </w:tc>
        <w:tc>
          <w:tcPr>
            <w:tcW w:w="1152" w:type="dxa"/>
            <w:noWrap/>
            <w:vAlign w:val="center"/>
            <w:hideMark/>
          </w:tcPr>
          <w:p w14:paraId="0AECB9A7" w14:textId="77777777" w:rsidR="00893351" w:rsidRPr="00D647B0" w:rsidRDefault="00893351" w:rsidP="00C95B7B">
            <w:pPr>
              <w:pStyle w:val="TableParagraph"/>
            </w:pPr>
            <w:r w:rsidRPr="00D647B0">
              <w:t xml:space="preserve">4,394 </w:t>
            </w:r>
          </w:p>
        </w:tc>
        <w:tc>
          <w:tcPr>
            <w:tcW w:w="1152" w:type="dxa"/>
            <w:noWrap/>
            <w:vAlign w:val="center"/>
            <w:hideMark/>
          </w:tcPr>
          <w:p w14:paraId="369AFC08" w14:textId="77777777" w:rsidR="00893351" w:rsidRPr="00D647B0" w:rsidRDefault="00893351" w:rsidP="00C95B7B">
            <w:pPr>
              <w:pStyle w:val="TableParagraph"/>
            </w:pPr>
            <w:r w:rsidRPr="00D647B0">
              <w:t>---</w:t>
            </w:r>
          </w:p>
        </w:tc>
        <w:tc>
          <w:tcPr>
            <w:tcW w:w="1152" w:type="dxa"/>
            <w:noWrap/>
            <w:vAlign w:val="center"/>
            <w:hideMark/>
          </w:tcPr>
          <w:p w14:paraId="72C399DE" w14:textId="77777777" w:rsidR="00893351" w:rsidRPr="00D647B0" w:rsidRDefault="00893351" w:rsidP="00C95B7B">
            <w:pPr>
              <w:pStyle w:val="TableParagraph"/>
            </w:pPr>
            <w:r w:rsidRPr="00D647B0">
              <w:t xml:space="preserve">222 </w:t>
            </w:r>
          </w:p>
        </w:tc>
        <w:tc>
          <w:tcPr>
            <w:tcW w:w="1860" w:type="dxa"/>
            <w:noWrap/>
            <w:vAlign w:val="center"/>
            <w:hideMark/>
          </w:tcPr>
          <w:p w14:paraId="54F2C71E" w14:textId="77777777" w:rsidR="00893351" w:rsidRPr="00D647B0" w:rsidRDefault="00893351" w:rsidP="00C95B7B">
            <w:pPr>
              <w:pStyle w:val="TableParagraph"/>
            </w:pPr>
            <w:r w:rsidRPr="00D647B0">
              <w:t>NSCR is installed</w:t>
            </w:r>
          </w:p>
        </w:tc>
      </w:tr>
      <w:tr w:rsidR="00893351" w:rsidRPr="00D647B0" w14:paraId="6919602F" w14:textId="77777777" w:rsidTr="00C95B7B">
        <w:trPr>
          <w:trHeight w:val="432"/>
        </w:trPr>
        <w:tc>
          <w:tcPr>
            <w:tcW w:w="1425" w:type="dxa"/>
            <w:noWrap/>
            <w:vAlign w:val="center"/>
            <w:hideMark/>
          </w:tcPr>
          <w:p w14:paraId="6E3D023E" w14:textId="767A3E8F" w:rsidR="00893351" w:rsidRPr="00D647B0" w:rsidRDefault="00AD793C" w:rsidP="00C95B7B">
            <w:pPr>
              <w:pStyle w:val="TableParagraph"/>
            </w:pPr>
            <w:r w:rsidRPr="00D647B0">
              <w:t>Shell</w:t>
            </w:r>
          </w:p>
        </w:tc>
        <w:tc>
          <w:tcPr>
            <w:tcW w:w="3744" w:type="dxa"/>
            <w:noWrap/>
            <w:vAlign w:val="center"/>
            <w:hideMark/>
          </w:tcPr>
          <w:p w14:paraId="358BE40F" w14:textId="172BED70" w:rsidR="00893351" w:rsidRPr="00D647B0" w:rsidRDefault="003D1D4A" w:rsidP="00C95B7B">
            <w:pPr>
              <w:pStyle w:val="TableParagraph"/>
            </w:pPr>
            <w:r w:rsidRPr="00D647B0">
              <w:t>Boiler</w:t>
            </w:r>
            <w:r w:rsidR="00893351" w:rsidRPr="00D647B0">
              <w:t xml:space="preserve"> #1 </w:t>
            </w:r>
            <w:r w:rsidRPr="00D647B0">
              <w:t>Erie City</w:t>
            </w:r>
            <w:r w:rsidR="00893351" w:rsidRPr="00D647B0">
              <w:t>--31G-F1</w:t>
            </w:r>
          </w:p>
        </w:tc>
        <w:tc>
          <w:tcPr>
            <w:tcW w:w="1152" w:type="dxa"/>
            <w:noWrap/>
            <w:vAlign w:val="center"/>
            <w:hideMark/>
          </w:tcPr>
          <w:p w14:paraId="52B8E93E" w14:textId="77777777" w:rsidR="00893351" w:rsidRPr="00D647B0" w:rsidRDefault="00893351" w:rsidP="00C95B7B">
            <w:pPr>
              <w:pStyle w:val="TableParagraph"/>
            </w:pPr>
            <w:r w:rsidRPr="00D647B0">
              <w:t xml:space="preserve">2,452 </w:t>
            </w:r>
          </w:p>
        </w:tc>
        <w:tc>
          <w:tcPr>
            <w:tcW w:w="1152" w:type="dxa"/>
            <w:noWrap/>
            <w:vAlign w:val="center"/>
            <w:hideMark/>
          </w:tcPr>
          <w:p w14:paraId="1AD8C88A" w14:textId="77777777" w:rsidR="00893351" w:rsidRPr="00D647B0" w:rsidRDefault="00893351" w:rsidP="00C95B7B">
            <w:pPr>
              <w:pStyle w:val="TableParagraph"/>
            </w:pPr>
            <w:r w:rsidRPr="00D647B0">
              <w:t xml:space="preserve">12,511 </w:t>
            </w:r>
          </w:p>
        </w:tc>
        <w:tc>
          <w:tcPr>
            <w:tcW w:w="1152" w:type="dxa"/>
            <w:noWrap/>
            <w:vAlign w:val="center"/>
            <w:hideMark/>
          </w:tcPr>
          <w:p w14:paraId="099227E2" w14:textId="77777777" w:rsidR="00893351" w:rsidRPr="00D647B0" w:rsidRDefault="00893351" w:rsidP="00C95B7B">
            <w:pPr>
              <w:pStyle w:val="TableParagraph"/>
            </w:pPr>
            <w:r w:rsidRPr="00D647B0">
              <w:t xml:space="preserve">179 </w:t>
            </w:r>
          </w:p>
        </w:tc>
        <w:tc>
          <w:tcPr>
            <w:tcW w:w="1860" w:type="dxa"/>
            <w:noWrap/>
            <w:vAlign w:val="center"/>
            <w:hideMark/>
          </w:tcPr>
          <w:p w14:paraId="4710C319" w14:textId="77777777" w:rsidR="00893351" w:rsidRPr="00D647B0" w:rsidRDefault="00893351" w:rsidP="00C95B7B">
            <w:pPr>
              <w:pStyle w:val="TableParagraph"/>
            </w:pPr>
            <w:r w:rsidRPr="00D647B0">
              <w:t>8 yrs life</w:t>
            </w:r>
          </w:p>
        </w:tc>
      </w:tr>
      <w:tr w:rsidR="00893351" w:rsidRPr="00D647B0" w14:paraId="01B455FE" w14:textId="77777777" w:rsidTr="00C95B7B">
        <w:trPr>
          <w:trHeight w:val="432"/>
        </w:trPr>
        <w:tc>
          <w:tcPr>
            <w:tcW w:w="1425" w:type="dxa"/>
            <w:noWrap/>
            <w:vAlign w:val="center"/>
            <w:hideMark/>
          </w:tcPr>
          <w:p w14:paraId="0D8BDD91" w14:textId="6ACFD502" w:rsidR="00893351" w:rsidRPr="00D647B0" w:rsidRDefault="00AD793C" w:rsidP="00C95B7B">
            <w:pPr>
              <w:pStyle w:val="TableParagraph"/>
            </w:pPr>
            <w:r w:rsidRPr="00D647B0">
              <w:t>Shell</w:t>
            </w:r>
          </w:p>
        </w:tc>
        <w:tc>
          <w:tcPr>
            <w:tcW w:w="3744" w:type="dxa"/>
            <w:noWrap/>
            <w:vAlign w:val="center"/>
            <w:hideMark/>
          </w:tcPr>
          <w:p w14:paraId="49BFCC22" w14:textId="77777777" w:rsidR="00893351" w:rsidRPr="00D647B0" w:rsidRDefault="00893351" w:rsidP="00C95B7B">
            <w:pPr>
              <w:pStyle w:val="TableParagraph"/>
            </w:pPr>
            <w:r w:rsidRPr="00D647B0">
              <w:t>Cogen turbine 1 MW</w:t>
            </w:r>
          </w:p>
        </w:tc>
        <w:tc>
          <w:tcPr>
            <w:tcW w:w="1152" w:type="dxa"/>
            <w:noWrap/>
            <w:vAlign w:val="center"/>
            <w:hideMark/>
          </w:tcPr>
          <w:p w14:paraId="5E0700A1" w14:textId="77777777" w:rsidR="00893351" w:rsidRPr="00D647B0" w:rsidRDefault="00893351" w:rsidP="00C95B7B">
            <w:pPr>
              <w:pStyle w:val="TableParagraph"/>
            </w:pPr>
            <w:r w:rsidRPr="00D647B0">
              <w:t>---</w:t>
            </w:r>
          </w:p>
        </w:tc>
        <w:tc>
          <w:tcPr>
            <w:tcW w:w="1152" w:type="dxa"/>
            <w:noWrap/>
            <w:vAlign w:val="center"/>
            <w:hideMark/>
          </w:tcPr>
          <w:p w14:paraId="4DAFF6E1" w14:textId="77777777" w:rsidR="00893351" w:rsidRPr="00D647B0" w:rsidRDefault="00893351" w:rsidP="00C95B7B">
            <w:pPr>
              <w:pStyle w:val="TableParagraph"/>
            </w:pPr>
            <w:r w:rsidRPr="00D647B0">
              <w:t>---</w:t>
            </w:r>
          </w:p>
        </w:tc>
        <w:tc>
          <w:tcPr>
            <w:tcW w:w="1152" w:type="dxa"/>
            <w:noWrap/>
            <w:vAlign w:val="center"/>
            <w:hideMark/>
          </w:tcPr>
          <w:p w14:paraId="729F0022" w14:textId="77777777" w:rsidR="00893351" w:rsidRPr="00D647B0" w:rsidRDefault="00893351" w:rsidP="00C95B7B">
            <w:pPr>
              <w:pStyle w:val="TableParagraph"/>
            </w:pPr>
            <w:r w:rsidRPr="00D647B0">
              <w:t>---</w:t>
            </w:r>
          </w:p>
        </w:tc>
        <w:tc>
          <w:tcPr>
            <w:tcW w:w="1860" w:type="dxa"/>
            <w:noWrap/>
            <w:vAlign w:val="center"/>
            <w:hideMark/>
          </w:tcPr>
          <w:p w14:paraId="58D515DB" w14:textId="77777777" w:rsidR="00893351" w:rsidRPr="00D647B0" w:rsidRDefault="00893351" w:rsidP="00C95B7B">
            <w:pPr>
              <w:pStyle w:val="TableParagraph"/>
            </w:pPr>
            <w:r w:rsidRPr="00D647B0">
              <w:t>Current SCR controls – Study</w:t>
            </w:r>
          </w:p>
        </w:tc>
      </w:tr>
      <w:tr w:rsidR="00893351" w:rsidRPr="00D647B0" w14:paraId="2506A837" w14:textId="77777777" w:rsidTr="00C95B7B">
        <w:trPr>
          <w:trHeight w:val="432"/>
        </w:trPr>
        <w:tc>
          <w:tcPr>
            <w:tcW w:w="1425" w:type="dxa"/>
            <w:noWrap/>
            <w:vAlign w:val="center"/>
            <w:hideMark/>
          </w:tcPr>
          <w:p w14:paraId="7E53A62B" w14:textId="1ACA5FC2" w:rsidR="00893351" w:rsidRPr="00D647B0" w:rsidRDefault="00AD793C" w:rsidP="00C95B7B">
            <w:pPr>
              <w:pStyle w:val="TableParagraph"/>
            </w:pPr>
            <w:r w:rsidRPr="00D647B0">
              <w:t>Shell</w:t>
            </w:r>
          </w:p>
        </w:tc>
        <w:tc>
          <w:tcPr>
            <w:tcW w:w="3744" w:type="dxa"/>
            <w:noWrap/>
            <w:vAlign w:val="center"/>
            <w:hideMark/>
          </w:tcPr>
          <w:p w14:paraId="6A1AC8F7" w14:textId="77777777" w:rsidR="00893351" w:rsidRPr="00D647B0" w:rsidRDefault="00893351" w:rsidP="00C95B7B">
            <w:pPr>
              <w:pStyle w:val="TableParagraph"/>
            </w:pPr>
            <w:r w:rsidRPr="00D647B0">
              <w:t>Cogen turbine 2 MW</w:t>
            </w:r>
          </w:p>
        </w:tc>
        <w:tc>
          <w:tcPr>
            <w:tcW w:w="1152" w:type="dxa"/>
            <w:noWrap/>
            <w:vAlign w:val="center"/>
            <w:hideMark/>
          </w:tcPr>
          <w:p w14:paraId="209C9A8D" w14:textId="77777777" w:rsidR="00893351" w:rsidRPr="00D647B0" w:rsidRDefault="00893351" w:rsidP="00C95B7B">
            <w:pPr>
              <w:pStyle w:val="TableParagraph"/>
            </w:pPr>
            <w:r w:rsidRPr="00D647B0">
              <w:t>---</w:t>
            </w:r>
          </w:p>
        </w:tc>
        <w:tc>
          <w:tcPr>
            <w:tcW w:w="1152" w:type="dxa"/>
            <w:noWrap/>
            <w:vAlign w:val="center"/>
            <w:hideMark/>
          </w:tcPr>
          <w:p w14:paraId="32E1DF80" w14:textId="77777777" w:rsidR="00893351" w:rsidRPr="00D647B0" w:rsidRDefault="00893351" w:rsidP="00C95B7B">
            <w:pPr>
              <w:pStyle w:val="TableParagraph"/>
            </w:pPr>
            <w:r w:rsidRPr="00D647B0">
              <w:t>---</w:t>
            </w:r>
          </w:p>
        </w:tc>
        <w:tc>
          <w:tcPr>
            <w:tcW w:w="1152" w:type="dxa"/>
            <w:noWrap/>
            <w:vAlign w:val="center"/>
            <w:hideMark/>
          </w:tcPr>
          <w:p w14:paraId="1E4807E5" w14:textId="77777777" w:rsidR="00893351" w:rsidRPr="00D647B0" w:rsidRDefault="00893351" w:rsidP="00C95B7B">
            <w:pPr>
              <w:pStyle w:val="TableParagraph"/>
            </w:pPr>
            <w:r w:rsidRPr="00D647B0">
              <w:t>---</w:t>
            </w:r>
          </w:p>
        </w:tc>
        <w:tc>
          <w:tcPr>
            <w:tcW w:w="1860" w:type="dxa"/>
            <w:noWrap/>
            <w:vAlign w:val="center"/>
          </w:tcPr>
          <w:p w14:paraId="4C63A03A" w14:textId="77777777" w:rsidR="00893351" w:rsidRPr="00D647B0" w:rsidRDefault="00893351" w:rsidP="00C95B7B">
            <w:pPr>
              <w:pStyle w:val="TableParagraph"/>
            </w:pPr>
            <w:r w:rsidRPr="00D647B0">
              <w:t>Current SCR controls – Study</w:t>
            </w:r>
          </w:p>
        </w:tc>
      </w:tr>
      <w:tr w:rsidR="00893351" w:rsidRPr="00D647B0" w14:paraId="2985C84A" w14:textId="77777777" w:rsidTr="00C95B7B">
        <w:trPr>
          <w:trHeight w:val="432"/>
        </w:trPr>
        <w:tc>
          <w:tcPr>
            <w:tcW w:w="1425" w:type="dxa"/>
            <w:noWrap/>
            <w:vAlign w:val="center"/>
            <w:hideMark/>
          </w:tcPr>
          <w:p w14:paraId="0B7002FA" w14:textId="00445790" w:rsidR="00893351" w:rsidRPr="00D647B0" w:rsidRDefault="00AD793C" w:rsidP="00C95B7B">
            <w:pPr>
              <w:pStyle w:val="TableParagraph"/>
            </w:pPr>
            <w:r w:rsidRPr="00D647B0">
              <w:t>Shell</w:t>
            </w:r>
          </w:p>
        </w:tc>
        <w:tc>
          <w:tcPr>
            <w:tcW w:w="3744" w:type="dxa"/>
            <w:noWrap/>
            <w:vAlign w:val="center"/>
            <w:hideMark/>
          </w:tcPr>
          <w:p w14:paraId="632EDEC0" w14:textId="77777777" w:rsidR="00893351" w:rsidRPr="00D647B0" w:rsidRDefault="00893351" w:rsidP="00C95B7B">
            <w:pPr>
              <w:pStyle w:val="TableParagraph"/>
            </w:pPr>
            <w:r w:rsidRPr="00D647B0">
              <w:t>Cogen turbine 3 MW</w:t>
            </w:r>
          </w:p>
        </w:tc>
        <w:tc>
          <w:tcPr>
            <w:tcW w:w="1152" w:type="dxa"/>
            <w:noWrap/>
            <w:vAlign w:val="center"/>
            <w:hideMark/>
          </w:tcPr>
          <w:p w14:paraId="182452DB" w14:textId="77777777" w:rsidR="00893351" w:rsidRPr="00D647B0" w:rsidRDefault="00893351" w:rsidP="00C95B7B">
            <w:pPr>
              <w:pStyle w:val="TableParagraph"/>
            </w:pPr>
            <w:r w:rsidRPr="00D647B0">
              <w:t>---</w:t>
            </w:r>
          </w:p>
        </w:tc>
        <w:tc>
          <w:tcPr>
            <w:tcW w:w="1152" w:type="dxa"/>
            <w:noWrap/>
            <w:vAlign w:val="center"/>
            <w:hideMark/>
          </w:tcPr>
          <w:p w14:paraId="448B4CA3" w14:textId="77777777" w:rsidR="00893351" w:rsidRPr="00D647B0" w:rsidRDefault="00893351" w:rsidP="00C95B7B">
            <w:pPr>
              <w:pStyle w:val="TableParagraph"/>
            </w:pPr>
            <w:r w:rsidRPr="00D647B0">
              <w:t>---</w:t>
            </w:r>
          </w:p>
        </w:tc>
        <w:tc>
          <w:tcPr>
            <w:tcW w:w="1152" w:type="dxa"/>
            <w:noWrap/>
            <w:vAlign w:val="center"/>
            <w:hideMark/>
          </w:tcPr>
          <w:p w14:paraId="2F07E215" w14:textId="77777777" w:rsidR="00893351" w:rsidRPr="00D647B0" w:rsidRDefault="00893351" w:rsidP="00C95B7B">
            <w:pPr>
              <w:pStyle w:val="TableParagraph"/>
            </w:pPr>
            <w:r w:rsidRPr="00D647B0">
              <w:t>---</w:t>
            </w:r>
          </w:p>
        </w:tc>
        <w:tc>
          <w:tcPr>
            <w:tcW w:w="1860" w:type="dxa"/>
            <w:noWrap/>
            <w:vAlign w:val="center"/>
          </w:tcPr>
          <w:p w14:paraId="5C790370" w14:textId="77777777" w:rsidR="00893351" w:rsidRPr="00D647B0" w:rsidRDefault="00893351" w:rsidP="00C95B7B">
            <w:pPr>
              <w:pStyle w:val="TableParagraph"/>
            </w:pPr>
            <w:r w:rsidRPr="00D647B0">
              <w:t>Current SCR controls – Study</w:t>
            </w:r>
          </w:p>
        </w:tc>
      </w:tr>
      <w:tr w:rsidR="00893351" w:rsidRPr="00D647B0" w14:paraId="2BB92055" w14:textId="77777777" w:rsidTr="00C95B7B">
        <w:trPr>
          <w:trHeight w:val="432"/>
        </w:trPr>
        <w:tc>
          <w:tcPr>
            <w:tcW w:w="1425" w:type="dxa"/>
            <w:noWrap/>
            <w:vAlign w:val="center"/>
            <w:hideMark/>
          </w:tcPr>
          <w:p w14:paraId="0C61883E" w14:textId="226AB5C5" w:rsidR="00893351" w:rsidRPr="00D647B0" w:rsidRDefault="00AD793C" w:rsidP="00C95B7B">
            <w:pPr>
              <w:pStyle w:val="TableParagraph"/>
            </w:pPr>
            <w:r w:rsidRPr="00D647B0">
              <w:t>Shell</w:t>
            </w:r>
          </w:p>
        </w:tc>
        <w:tc>
          <w:tcPr>
            <w:tcW w:w="3744" w:type="dxa"/>
            <w:noWrap/>
            <w:vAlign w:val="center"/>
            <w:hideMark/>
          </w:tcPr>
          <w:p w14:paraId="14B45F55" w14:textId="766F4B52" w:rsidR="00893351" w:rsidRPr="00D647B0" w:rsidRDefault="00893351" w:rsidP="00C95B7B">
            <w:pPr>
              <w:pStyle w:val="TableParagraph"/>
            </w:pPr>
            <w:r w:rsidRPr="00D647B0">
              <w:t xml:space="preserve">FCCU </w:t>
            </w:r>
            <w:r w:rsidR="00AD793C" w:rsidRPr="00D647B0">
              <w:t xml:space="preserve">regenerator unit </w:t>
            </w:r>
          </w:p>
        </w:tc>
        <w:tc>
          <w:tcPr>
            <w:tcW w:w="1152" w:type="dxa"/>
            <w:noWrap/>
            <w:vAlign w:val="center"/>
            <w:hideMark/>
          </w:tcPr>
          <w:p w14:paraId="66BA0B2E" w14:textId="77777777" w:rsidR="00893351" w:rsidRPr="00D647B0" w:rsidRDefault="00893351" w:rsidP="00C95B7B">
            <w:pPr>
              <w:pStyle w:val="TableParagraph"/>
            </w:pPr>
            <w:r w:rsidRPr="00D647B0">
              <w:t xml:space="preserve">2,262 </w:t>
            </w:r>
          </w:p>
        </w:tc>
        <w:tc>
          <w:tcPr>
            <w:tcW w:w="1152" w:type="dxa"/>
            <w:noWrap/>
            <w:vAlign w:val="center"/>
            <w:hideMark/>
          </w:tcPr>
          <w:p w14:paraId="0A4BD29C" w14:textId="77777777" w:rsidR="00893351" w:rsidRPr="00D647B0" w:rsidRDefault="00893351" w:rsidP="00C95B7B">
            <w:pPr>
              <w:pStyle w:val="TableParagraph"/>
            </w:pPr>
            <w:r w:rsidRPr="00D647B0">
              <w:t>---</w:t>
            </w:r>
          </w:p>
        </w:tc>
        <w:tc>
          <w:tcPr>
            <w:tcW w:w="1152" w:type="dxa"/>
            <w:noWrap/>
            <w:vAlign w:val="center"/>
            <w:hideMark/>
          </w:tcPr>
          <w:p w14:paraId="19DB578E" w14:textId="77777777" w:rsidR="00893351" w:rsidRPr="00D647B0" w:rsidRDefault="00893351" w:rsidP="00C95B7B">
            <w:pPr>
              <w:pStyle w:val="TableParagraph"/>
            </w:pPr>
            <w:r w:rsidRPr="00D647B0">
              <w:t xml:space="preserve">521 </w:t>
            </w:r>
          </w:p>
        </w:tc>
        <w:tc>
          <w:tcPr>
            <w:tcW w:w="1860" w:type="dxa"/>
            <w:noWrap/>
            <w:vAlign w:val="center"/>
            <w:hideMark/>
          </w:tcPr>
          <w:p w14:paraId="0EBAB4DC" w14:textId="77777777" w:rsidR="00893351" w:rsidRPr="00D647B0" w:rsidRDefault="00893351" w:rsidP="00C95B7B">
            <w:pPr>
              <w:pStyle w:val="TableParagraph"/>
            </w:pPr>
            <w:r w:rsidRPr="00D647B0">
              <w:t> </w:t>
            </w:r>
          </w:p>
        </w:tc>
      </w:tr>
      <w:tr w:rsidR="00893351" w:rsidRPr="00D647B0" w14:paraId="5F566AC3" w14:textId="77777777" w:rsidTr="00C95B7B">
        <w:trPr>
          <w:trHeight w:val="432"/>
        </w:trPr>
        <w:tc>
          <w:tcPr>
            <w:tcW w:w="1425" w:type="dxa"/>
            <w:noWrap/>
            <w:vAlign w:val="center"/>
            <w:hideMark/>
          </w:tcPr>
          <w:p w14:paraId="781A307F" w14:textId="1A467B80" w:rsidR="00893351" w:rsidRPr="00D647B0" w:rsidRDefault="00AD793C" w:rsidP="00C95B7B">
            <w:pPr>
              <w:pStyle w:val="TableParagraph"/>
            </w:pPr>
            <w:r w:rsidRPr="00D647B0">
              <w:t>Shell</w:t>
            </w:r>
          </w:p>
        </w:tc>
        <w:tc>
          <w:tcPr>
            <w:tcW w:w="3744" w:type="dxa"/>
            <w:noWrap/>
            <w:vAlign w:val="center"/>
            <w:hideMark/>
          </w:tcPr>
          <w:p w14:paraId="1FC36D40" w14:textId="77777777" w:rsidR="00893351" w:rsidRPr="00D647B0" w:rsidRDefault="00893351" w:rsidP="00C95B7B">
            <w:pPr>
              <w:pStyle w:val="TableParagraph"/>
            </w:pPr>
            <w:r w:rsidRPr="00D647B0">
              <w:t>CRU #2 HTR, INTERHTR--10H-101,102,103</w:t>
            </w:r>
          </w:p>
        </w:tc>
        <w:tc>
          <w:tcPr>
            <w:tcW w:w="1152" w:type="dxa"/>
            <w:noWrap/>
            <w:vAlign w:val="center"/>
            <w:hideMark/>
          </w:tcPr>
          <w:p w14:paraId="2743067F" w14:textId="77777777" w:rsidR="00893351" w:rsidRPr="00D647B0" w:rsidRDefault="00893351" w:rsidP="00C95B7B">
            <w:pPr>
              <w:pStyle w:val="TableParagraph"/>
            </w:pPr>
            <w:r w:rsidRPr="00D647B0">
              <w:t xml:space="preserve">6,375 </w:t>
            </w:r>
          </w:p>
        </w:tc>
        <w:tc>
          <w:tcPr>
            <w:tcW w:w="1152" w:type="dxa"/>
            <w:noWrap/>
            <w:vAlign w:val="center"/>
            <w:hideMark/>
          </w:tcPr>
          <w:p w14:paraId="515CEC3C" w14:textId="77777777" w:rsidR="00893351" w:rsidRPr="00D647B0" w:rsidRDefault="00893351" w:rsidP="00C95B7B">
            <w:pPr>
              <w:pStyle w:val="TableParagraph"/>
            </w:pPr>
            <w:r w:rsidRPr="00D647B0">
              <w:t xml:space="preserve">10,813 </w:t>
            </w:r>
          </w:p>
        </w:tc>
        <w:tc>
          <w:tcPr>
            <w:tcW w:w="1152" w:type="dxa"/>
            <w:noWrap/>
            <w:vAlign w:val="center"/>
            <w:hideMark/>
          </w:tcPr>
          <w:p w14:paraId="74DF992D" w14:textId="77777777" w:rsidR="00893351" w:rsidRPr="00D647B0" w:rsidRDefault="00893351" w:rsidP="00C95B7B">
            <w:pPr>
              <w:pStyle w:val="TableParagraph"/>
            </w:pPr>
            <w:r w:rsidRPr="00D647B0">
              <w:t xml:space="preserve">69 </w:t>
            </w:r>
          </w:p>
        </w:tc>
        <w:tc>
          <w:tcPr>
            <w:tcW w:w="1860" w:type="dxa"/>
            <w:noWrap/>
            <w:vAlign w:val="center"/>
            <w:hideMark/>
          </w:tcPr>
          <w:p w14:paraId="41045C51" w14:textId="77777777" w:rsidR="00893351" w:rsidRPr="00D647B0" w:rsidRDefault="00893351" w:rsidP="00C95B7B">
            <w:pPr>
              <w:pStyle w:val="TableParagraph"/>
            </w:pPr>
            <w:r w:rsidRPr="00D647B0">
              <w:t> </w:t>
            </w:r>
          </w:p>
        </w:tc>
      </w:tr>
      <w:tr w:rsidR="00893351" w:rsidRPr="00D647B0" w14:paraId="39BC4E72" w14:textId="77777777" w:rsidTr="00C95B7B">
        <w:trPr>
          <w:trHeight w:val="432"/>
        </w:trPr>
        <w:tc>
          <w:tcPr>
            <w:tcW w:w="1425" w:type="dxa"/>
            <w:noWrap/>
            <w:vAlign w:val="center"/>
            <w:hideMark/>
          </w:tcPr>
          <w:p w14:paraId="114AA4CB" w14:textId="524374D9" w:rsidR="00893351" w:rsidRPr="00D647B0" w:rsidRDefault="00AD793C" w:rsidP="00C95B7B">
            <w:pPr>
              <w:pStyle w:val="TableParagraph"/>
            </w:pPr>
            <w:r w:rsidRPr="00D647B0">
              <w:t xml:space="preserve">Tesoro </w:t>
            </w:r>
          </w:p>
        </w:tc>
        <w:tc>
          <w:tcPr>
            <w:tcW w:w="3744" w:type="dxa"/>
            <w:noWrap/>
            <w:vAlign w:val="center"/>
            <w:hideMark/>
          </w:tcPr>
          <w:p w14:paraId="77A0AD13" w14:textId="0A339767" w:rsidR="00893351" w:rsidRPr="00D647B0" w:rsidRDefault="00893351" w:rsidP="00C95B7B">
            <w:pPr>
              <w:pStyle w:val="TableParagraph"/>
            </w:pPr>
            <w:r w:rsidRPr="00D647B0">
              <w:t xml:space="preserve">CCU CO </w:t>
            </w:r>
            <w:r w:rsidR="00AD793C" w:rsidRPr="00D647B0">
              <w:t xml:space="preserve">boilers </w:t>
            </w:r>
            <w:r w:rsidRPr="00D647B0">
              <w:t>(F-302 &amp; F-304)</w:t>
            </w:r>
          </w:p>
        </w:tc>
        <w:tc>
          <w:tcPr>
            <w:tcW w:w="1152" w:type="dxa"/>
            <w:noWrap/>
            <w:vAlign w:val="center"/>
            <w:hideMark/>
          </w:tcPr>
          <w:p w14:paraId="6A1CADFB" w14:textId="77777777" w:rsidR="00893351" w:rsidRPr="00D647B0" w:rsidRDefault="00893351" w:rsidP="00C95B7B">
            <w:pPr>
              <w:pStyle w:val="TableParagraph"/>
            </w:pPr>
            <w:r w:rsidRPr="00D647B0">
              <w:t xml:space="preserve">1,346 </w:t>
            </w:r>
          </w:p>
        </w:tc>
        <w:tc>
          <w:tcPr>
            <w:tcW w:w="1152" w:type="dxa"/>
            <w:noWrap/>
            <w:vAlign w:val="center"/>
            <w:hideMark/>
          </w:tcPr>
          <w:p w14:paraId="694B6E97" w14:textId="77777777" w:rsidR="00893351" w:rsidRPr="00D647B0" w:rsidRDefault="00893351" w:rsidP="00C95B7B">
            <w:pPr>
              <w:pStyle w:val="TableParagraph"/>
            </w:pPr>
            <w:r w:rsidRPr="00D647B0">
              <w:t xml:space="preserve">14,381 </w:t>
            </w:r>
          </w:p>
        </w:tc>
        <w:tc>
          <w:tcPr>
            <w:tcW w:w="1152" w:type="dxa"/>
            <w:noWrap/>
            <w:vAlign w:val="center"/>
            <w:hideMark/>
          </w:tcPr>
          <w:p w14:paraId="0DDE9317" w14:textId="77777777" w:rsidR="00893351" w:rsidRPr="00D647B0" w:rsidRDefault="00893351" w:rsidP="00C95B7B">
            <w:pPr>
              <w:pStyle w:val="TableParagraph"/>
            </w:pPr>
            <w:r w:rsidRPr="00D647B0">
              <w:t xml:space="preserve">843 </w:t>
            </w:r>
          </w:p>
        </w:tc>
        <w:tc>
          <w:tcPr>
            <w:tcW w:w="1860" w:type="dxa"/>
            <w:noWrap/>
            <w:vAlign w:val="center"/>
            <w:hideMark/>
          </w:tcPr>
          <w:p w14:paraId="2EBD92FA" w14:textId="77777777" w:rsidR="00893351" w:rsidRPr="00D647B0" w:rsidRDefault="00893351" w:rsidP="00C95B7B">
            <w:pPr>
              <w:pStyle w:val="TableParagraph"/>
            </w:pPr>
            <w:r w:rsidRPr="00D647B0">
              <w:t> </w:t>
            </w:r>
          </w:p>
        </w:tc>
      </w:tr>
      <w:tr w:rsidR="00893351" w:rsidRPr="00D647B0" w14:paraId="542EFA01" w14:textId="77777777" w:rsidTr="00C95B7B">
        <w:trPr>
          <w:trHeight w:val="432"/>
        </w:trPr>
        <w:tc>
          <w:tcPr>
            <w:tcW w:w="1425" w:type="dxa"/>
            <w:noWrap/>
            <w:vAlign w:val="center"/>
            <w:hideMark/>
          </w:tcPr>
          <w:p w14:paraId="081A4C26" w14:textId="261E92EF" w:rsidR="00893351" w:rsidRPr="00D647B0" w:rsidRDefault="00AD793C" w:rsidP="00C95B7B">
            <w:pPr>
              <w:pStyle w:val="TableParagraph"/>
            </w:pPr>
            <w:r w:rsidRPr="00D647B0">
              <w:t xml:space="preserve">Tesoro </w:t>
            </w:r>
          </w:p>
        </w:tc>
        <w:tc>
          <w:tcPr>
            <w:tcW w:w="3744" w:type="dxa"/>
            <w:noWrap/>
            <w:vAlign w:val="center"/>
            <w:hideMark/>
          </w:tcPr>
          <w:p w14:paraId="73E81462" w14:textId="753762C6" w:rsidR="00893351" w:rsidRPr="00D647B0" w:rsidRDefault="00893351" w:rsidP="00C95B7B">
            <w:pPr>
              <w:pStyle w:val="TableParagraph"/>
            </w:pPr>
            <w:r w:rsidRPr="00D647B0">
              <w:t xml:space="preserve">F 102 </w:t>
            </w:r>
            <w:r w:rsidR="00AD793C" w:rsidRPr="00D647B0">
              <w:t>crude heater</w:t>
            </w:r>
          </w:p>
        </w:tc>
        <w:tc>
          <w:tcPr>
            <w:tcW w:w="1152" w:type="dxa"/>
            <w:noWrap/>
            <w:vAlign w:val="center"/>
            <w:hideMark/>
          </w:tcPr>
          <w:p w14:paraId="2962F7DA" w14:textId="77777777" w:rsidR="00893351" w:rsidRPr="00D647B0" w:rsidRDefault="00893351" w:rsidP="00C95B7B">
            <w:pPr>
              <w:pStyle w:val="TableParagraph"/>
            </w:pPr>
            <w:r w:rsidRPr="00D647B0">
              <w:t xml:space="preserve">2,975 </w:t>
            </w:r>
          </w:p>
        </w:tc>
        <w:tc>
          <w:tcPr>
            <w:tcW w:w="1152" w:type="dxa"/>
            <w:noWrap/>
            <w:vAlign w:val="center"/>
            <w:hideMark/>
          </w:tcPr>
          <w:p w14:paraId="54CB3099" w14:textId="77777777" w:rsidR="00893351" w:rsidRPr="00D647B0" w:rsidRDefault="00893351" w:rsidP="00C95B7B">
            <w:pPr>
              <w:pStyle w:val="TableParagraph"/>
            </w:pPr>
            <w:r w:rsidRPr="00D647B0">
              <w:t xml:space="preserve">16,086 </w:t>
            </w:r>
          </w:p>
        </w:tc>
        <w:tc>
          <w:tcPr>
            <w:tcW w:w="1152" w:type="dxa"/>
            <w:noWrap/>
            <w:vAlign w:val="center"/>
            <w:hideMark/>
          </w:tcPr>
          <w:p w14:paraId="12144596" w14:textId="77777777" w:rsidR="00893351" w:rsidRPr="00D647B0" w:rsidRDefault="00893351" w:rsidP="00C95B7B">
            <w:pPr>
              <w:pStyle w:val="TableParagraph"/>
            </w:pPr>
            <w:r w:rsidRPr="00D647B0">
              <w:t xml:space="preserve">148 </w:t>
            </w:r>
          </w:p>
        </w:tc>
        <w:tc>
          <w:tcPr>
            <w:tcW w:w="1860" w:type="dxa"/>
            <w:noWrap/>
            <w:vAlign w:val="center"/>
            <w:hideMark/>
          </w:tcPr>
          <w:p w14:paraId="2EBE4377" w14:textId="77777777" w:rsidR="00893351" w:rsidRPr="00D647B0" w:rsidRDefault="00893351" w:rsidP="00C95B7B">
            <w:pPr>
              <w:pStyle w:val="TableParagraph"/>
            </w:pPr>
            <w:r w:rsidRPr="00D647B0">
              <w:t> </w:t>
            </w:r>
          </w:p>
        </w:tc>
      </w:tr>
      <w:tr w:rsidR="00893351" w:rsidRPr="00D647B0" w14:paraId="575C4E31" w14:textId="77777777" w:rsidTr="00C95B7B">
        <w:trPr>
          <w:trHeight w:val="432"/>
        </w:trPr>
        <w:tc>
          <w:tcPr>
            <w:tcW w:w="1425" w:type="dxa"/>
            <w:noWrap/>
            <w:vAlign w:val="center"/>
            <w:hideMark/>
          </w:tcPr>
          <w:p w14:paraId="2939E709" w14:textId="20BE533F" w:rsidR="00893351" w:rsidRPr="00D647B0" w:rsidRDefault="00AD793C" w:rsidP="00C95B7B">
            <w:pPr>
              <w:pStyle w:val="TableParagraph"/>
            </w:pPr>
            <w:r w:rsidRPr="00D647B0">
              <w:t xml:space="preserve">Tesoro </w:t>
            </w:r>
          </w:p>
        </w:tc>
        <w:tc>
          <w:tcPr>
            <w:tcW w:w="3744" w:type="dxa"/>
            <w:noWrap/>
            <w:vAlign w:val="center"/>
            <w:hideMark/>
          </w:tcPr>
          <w:p w14:paraId="2D61029D" w14:textId="19F2F934" w:rsidR="00893351" w:rsidRPr="00D647B0" w:rsidRDefault="00893351" w:rsidP="00C95B7B">
            <w:pPr>
              <w:pStyle w:val="TableParagraph"/>
            </w:pPr>
            <w:r w:rsidRPr="00D647B0">
              <w:t xml:space="preserve">F 201 </w:t>
            </w:r>
            <w:r w:rsidR="00AD793C" w:rsidRPr="00D647B0">
              <w:t>vacuum flasher heater</w:t>
            </w:r>
          </w:p>
        </w:tc>
        <w:tc>
          <w:tcPr>
            <w:tcW w:w="1152" w:type="dxa"/>
            <w:noWrap/>
            <w:vAlign w:val="center"/>
            <w:hideMark/>
          </w:tcPr>
          <w:p w14:paraId="7DADF94E" w14:textId="77777777" w:rsidR="00893351" w:rsidRPr="00D647B0" w:rsidRDefault="00893351" w:rsidP="00C95B7B">
            <w:pPr>
              <w:pStyle w:val="TableParagraph"/>
            </w:pPr>
            <w:r w:rsidRPr="00D647B0">
              <w:t xml:space="preserve">7,623 </w:t>
            </w:r>
          </w:p>
        </w:tc>
        <w:tc>
          <w:tcPr>
            <w:tcW w:w="1152" w:type="dxa"/>
            <w:noWrap/>
            <w:vAlign w:val="center"/>
            <w:hideMark/>
          </w:tcPr>
          <w:p w14:paraId="16420EFD" w14:textId="77777777" w:rsidR="00893351" w:rsidRPr="00D647B0" w:rsidRDefault="00893351" w:rsidP="00C95B7B">
            <w:pPr>
              <w:pStyle w:val="TableParagraph"/>
            </w:pPr>
            <w:r w:rsidRPr="00D647B0">
              <w:t xml:space="preserve">35,279 </w:t>
            </w:r>
          </w:p>
        </w:tc>
        <w:tc>
          <w:tcPr>
            <w:tcW w:w="1152" w:type="dxa"/>
            <w:noWrap/>
            <w:vAlign w:val="center"/>
            <w:hideMark/>
          </w:tcPr>
          <w:p w14:paraId="7F45B7E1" w14:textId="77777777" w:rsidR="00893351" w:rsidRPr="00D647B0" w:rsidRDefault="00893351" w:rsidP="00C95B7B">
            <w:pPr>
              <w:pStyle w:val="TableParagraph"/>
            </w:pPr>
            <w:r w:rsidRPr="00D647B0">
              <w:t xml:space="preserve">58 </w:t>
            </w:r>
          </w:p>
        </w:tc>
        <w:tc>
          <w:tcPr>
            <w:tcW w:w="1860" w:type="dxa"/>
            <w:noWrap/>
            <w:vAlign w:val="center"/>
            <w:hideMark/>
          </w:tcPr>
          <w:p w14:paraId="30AC26E1" w14:textId="77777777" w:rsidR="00893351" w:rsidRPr="00D647B0" w:rsidRDefault="00893351" w:rsidP="00C95B7B">
            <w:pPr>
              <w:pStyle w:val="TableParagraph"/>
            </w:pPr>
            <w:r w:rsidRPr="00D647B0">
              <w:t>Route to one SCR</w:t>
            </w:r>
          </w:p>
        </w:tc>
      </w:tr>
      <w:tr w:rsidR="00893351" w:rsidRPr="00D647B0" w14:paraId="6C146447" w14:textId="77777777" w:rsidTr="00C95B7B">
        <w:trPr>
          <w:trHeight w:val="432"/>
        </w:trPr>
        <w:tc>
          <w:tcPr>
            <w:tcW w:w="1425" w:type="dxa"/>
            <w:noWrap/>
            <w:vAlign w:val="center"/>
            <w:hideMark/>
          </w:tcPr>
          <w:p w14:paraId="0B30A072" w14:textId="64759AF3" w:rsidR="00893351" w:rsidRPr="00D647B0" w:rsidRDefault="00AD793C" w:rsidP="00C95B7B">
            <w:pPr>
              <w:pStyle w:val="TableParagraph"/>
            </w:pPr>
            <w:r w:rsidRPr="00D647B0">
              <w:t xml:space="preserve">Tesoro </w:t>
            </w:r>
          </w:p>
        </w:tc>
        <w:tc>
          <w:tcPr>
            <w:tcW w:w="3744" w:type="dxa"/>
            <w:noWrap/>
            <w:vAlign w:val="center"/>
            <w:hideMark/>
          </w:tcPr>
          <w:p w14:paraId="6387E571" w14:textId="01190F8A" w:rsidR="00893351" w:rsidRPr="00D647B0" w:rsidRDefault="00893351" w:rsidP="00C95B7B">
            <w:pPr>
              <w:pStyle w:val="TableParagraph"/>
            </w:pPr>
            <w:r w:rsidRPr="00D647B0">
              <w:t xml:space="preserve">F 6650 CAT </w:t>
            </w:r>
            <w:r w:rsidR="00AD793C" w:rsidRPr="00D647B0">
              <w:t>reformer heater</w:t>
            </w:r>
          </w:p>
        </w:tc>
        <w:tc>
          <w:tcPr>
            <w:tcW w:w="1152" w:type="dxa"/>
            <w:noWrap/>
            <w:vAlign w:val="center"/>
            <w:hideMark/>
          </w:tcPr>
          <w:p w14:paraId="6F7A0A72" w14:textId="77777777" w:rsidR="00893351" w:rsidRPr="00D647B0" w:rsidRDefault="00893351" w:rsidP="00C95B7B">
            <w:pPr>
              <w:pStyle w:val="TableParagraph"/>
            </w:pPr>
            <w:r w:rsidRPr="00D647B0">
              <w:t xml:space="preserve">3,753 </w:t>
            </w:r>
          </w:p>
        </w:tc>
        <w:tc>
          <w:tcPr>
            <w:tcW w:w="1152" w:type="dxa"/>
            <w:noWrap/>
            <w:vAlign w:val="center"/>
            <w:hideMark/>
          </w:tcPr>
          <w:p w14:paraId="37EFB4EB" w14:textId="77777777" w:rsidR="00893351" w:rsidRPr="00D647B0" w:rsidRDefault="00893351" w:rsidP="00C95B7B">
            <w:pPr>
              <w:pStyle w:val="TableParagraph"/>
            </w:pPr>
            <w:r w:rsidRPr="00D647B0">
              <w:t xml:space="preserve">21,196 </w:t>
            </w:r>
          </w:p>
        </w:tc>
        <w:tc>
          <w:tcPr>
            <w:tcW w:w="1152" w:type="dxa"/>
            <w:noWrap/>
            <w:vAlign w:val="center"/>
            <w:hideMark/>
          </w:tcPr>
          <w:p w14:paraId="01FC7ECE" w14:textId="77777777" w:rsidR="00893351" w:rsidRPr="00D647B0" w:rsidRDefault="00893351" w:rsidP="00C95B7B">
            <w:pPr>
              <w:pStyle w:val="TableParagraph"/>
            </w:pPr>
            <w:r w:rsidRPr="00D647B0">
              <w:t xml:space="preserve">117 </w:t>
            </w:r>
          </w:p>
        </w:tc>
        <w:tc>
          <w:tcPr>
            <w:tcW w:w="1860" w:type="dxa"/>
            <w:noWrap/>
            <w:vAlign w:val="center"/>
            <w:hideMark/>
          </w:tcPr>
          <w:p w14:paraId="4E9959BC" w14:textId="77777777" w:rsidR="00893351" w:rsidRPr="00D647B0" w:rsidRDefault="00893351" w:rsidP="00C95B7B">
            <w:pPr>
              <w:pStyle w:val="TableParagraph"/>
            </w:pPr>
            <w:r w:rsidRPr="00D647B0">
              <w:t> </w:t>
            </w:r>
          </w:p>
        </w:tc>
      </w:tr>
      <w:tr w:rsidR="00893351" w:rsidRPr="00D647B0" w14:paraId="48DB9984" w14:textId="77777777" w:rsidTr="00C95B7B">
        <w:trPr>
          <w:trHeight w:val="432"/>
        </w:trPr>
        <w:tc>
          <w:tcPr>
            <w:tcW w:w="1425" w:type="dxa"/>
            <w:noWrap/>
            <w:vAlign w:val="center"/>
            <w:hideMark/>
          </w:tcPr>
          <w:p w14:paraId="6557E69C" w14:textId="69E53737" w:rsidR="00893351" w:rsidRPr="00D647B0" w:rsidRDefault="00AD793C" w:rsidP="00C95B7B">
            <w:pPr>
              <w:pStyle w:val="TableParagraph"/>
            </w:pPr>
            <w:r w:rsidRPr="00D647B0">
              <w:lastRenderedPageBreak/>
              <w:t xml:space="preserve">Tesoro </w:t>
            </w:r>
          </w:p>
        </w:tc>
        <w:tc>
          <w:tcPr>
            <w:tcW w:w="3744" w:type="dxa"/>
            <w:noWrap/>
            <w:vAlign w:val="center"/>
            <w:hideMark/>
          </w:tcPr>
          <w:p w14:paraId="7836E162" w14:textId="61D3045F" w:rsidR="00893351" w:rsidRPr="00D647B0" w:rsidRDefault="00893351" w:rsidP="00C95B7B">
            <w:pPr>
              <w:pStyle w:val="TableParagraph"/>
            </w:pPr>
            <w:r w:rsidRPr="00D647B0">
              <w:t xml:space="preserve">F 6651 CAT </w:t>
            </w:r>
            <w:r w:rsidR="00AD793C" w:rsidRPr="00D647B0">
              <w:t>reformer heater</w:t>
            </w:r>
          </w:p>
        </w:tc>
        <w:tc>
          <w:tcPr>
            <w:tcW w:w="1152" w:type="dxa"/>
            <w:noWrap/>
            <w:vAlign w:val="center"/>
            <w:hideMark/>
          </w:tcPr>
          <w:p w14:paraId="6C717053" w14:textId="77777777" w:rsidR="00893351" w:rsidRPr="00D647B0" w:rsidRDefault="00893351" w:rsidP="00C95B7B">
            <w:pPr>
              <w:pStyle w:val="TableParagraph"/>
            </w:pPr>
            <w:r w:rsidRPr="00D647B0">
              <w:t xml:space="preserve">3,535 </w:t>
            </w:r>
          </w:p>
        </w:tc>
        <w:tc>
          <w:tcPr>
            <w:tcW w:w="1152" w:type="dxa"/>
            <w:noWrap/>
            <w:vAlign w:val="center"/>
            <w:hideMark/>
          </w:tcPr>
          <w:p w14:paraId="56EF0694" w14:textId="77777777" w:rsidR="00893351" w:rsidRPr="00D647B0" w:rsidRDefault="00893351" w:rsidP="00C95B7B">
            <w:pPr>
              <w:pStyle w:val="TableParagraph"/>
            </w:pPr>
            <w:r w:rsidRPr="00D647B0">
              <w:t xml:space="preserve">21,196 </w:t>
            </w:r>
          </w:p>
        </w:tc>
        <w:tc>
          <w:tcPr>
            <w:tcW w:w="1152" w:type="dxa"/>
            <w:noWrap/>
            <w:vAlign w:val="center"/>
            <w:hideMark/>
          </w:tcPr>
          <w:p w14:paraId="2ADC414C" w14:textId="77777777" w:rsidR="00893351" w:rsidRPr="00D647B0" w:rsidRDefault="00893351" w:rsidP="00C95B7B">
            <w:pPr>
              <w:pStyle w:val="TableParagraph"/>
            </w:pPr>
            <w:r w:rsidRPr="00D647B0">
              <w:t xml:space="preserve">124 </w:t>
            </w:r>
          </w:p>
        </w:tc>
        <w:tc>
          <w:tcPr>
            <w:tcW w:w="1860" w:type="dxa"/>
            <w:noWrap/>
            <w:vAlign w:val="center"/>
            <w:hideMark/>
          </w:tcPr>
          <w:p w14:paraId="5EC1B8CE" w14:textId="77777777" w:rsidR="00893351" w:rsidRPr="00D647B0" w:rsidRDefault="00893351" w:rsidP="00C95B7B">
            <w:pPr>
              <w:pStyle w:val="TableParagraph"/>
            </w:pPr>
            <w:r w:rsidRPr="00D647B0">
              <w:t> </w:t>
            </w:r>
          </w:p>
        </w:tc>
      </w:tr>
      <w:tr w:rsidR="00893351" w:rsidRPr="00D647B0" w14:paraId="3A522386" w14:textId="77777777" w:rsidTr="00C95B7B">
        <w:trPr>
          <w:trHeight w:val="432"/>
        </w:trPr>
        <w:tc>
          <w:tcPr>
            <w:tcW w:w="1425" w:type="dxa"/>
            <w:noWrap/>
            <w:vAlign w:val="center"/>
            <w:hideMark/>
          </w:tcPr>
          <w:p w14:paraId="2B9D3F43" w14:textId="56CA2FF1" w:rsidR="00893351" w:rsidRPr="00D647B0" w:rsidRDefault="00AD793C" w:rsidP="00C95B7B">
            <w:pPr>
              <w:pStyle w:val="TableParagraph"/>
            </w:pPr>
            <w:r w:rsidRPr="00D647B0">
              <w:t xml:space="preserve">Tesoro </w:t>
            </w:r>
          </w:p>
        </w:tc>
        <w:tc>
          <w:tcPr>
            <w:tcW w:w="3744" w:type="dxa"/>
            <w:noWrap/>
            <w:vAlign w:val="center"/>
            <w:hideMark/>
          </w:tcPr>
          <w:p w14:paraId="4A90ACCE" w14:textId="7BF616A7" w:rsidR="00893351" w:rsidRPr="00D647B0" w:rsidRDefault="00893351" w:rsidP="00C95B7B">
            <w:pPr>
              <w:pStyle w:val="TableParagraph"/>
            </w:pPr>
            <w:r w:rsidRPr="00D647B0">
              <w:t xml:space="preserve">F 751 </w:t>
            </w:r>
            <w:r w:rsidR="00AD793C" w:rsidRPr="00D647B0">
              <w:t>main boiler</w:t>
            </w:r>
          </w:p>
        </w:tc>
        <w:tc>
          <w:tcPr>
            <w:tcW w:w="1152" w:type="dxa"/>
            <w:noWrap/>
            <w:vAlign w:val="center"/>
            <w:hideMark/>
          </w:tcPr>
          <w:p w14:paraId="2B422EE8" w14:textId="77777777" w:rsidR="00893351" w:rsidRPr="00D647B0" w:rsidRDefault="00893351" w:rsidP="00C95B7B">
            <w:pPr>
              <w:pStyle w:val="TableParagraph"/>
            </w:pPr>
            <w:r w:rsidRPr="00D647B0">
              <w:t xml:space="preserve">2,168 </w:t>
            </w:r>
          </w:p>
        </w:tc>
        <w:tc>
          <w:tcPr>
            <w:tcW w:w="1152" w:type="dxa"/>
            <w:noWrap/>
            <w:vAlign w:val="center"/>
            <w:hideMark/>
          </w:tcPr>
          <w:p w14:paraId="250E4C7B" w14:textId="77777777" w:rsidR="00893351" w:rsidRPr="00D647B0" w:rsidRDefault="00893351" w:rsidP="00C95B7B">
            <w:pPr>
              <w:pStyle w:val="TableParagraph"/>
            </w:pPr>
            <w:r w:rsidRPr="00D647B0">
              <w:t xml:space="preserve">10,060 </w:t>
            </w:r>
          </w:p>
        </w:tc>
        <w:tc>
          <w:tcPr>
            <w:tcW w:w="1152" w:type="dxa"/>
            <w:noWrap/>
            <w:vAlign w:val="center"/>
            <w:hideMark/>
          </w:tcPr>
          <w:p w14:paraId="3098C820" w14:textId="77777777" w:rsidR="00893351" w:rsidRPr="00D647B0" w:rsidRDefault="00893351" w:rsidP="00C95B7B">
            <w:pPr>
              <w:pStyle w:val="TableParagraph"/>
            </w:pPr>
            <w:r w:rsidRPr="00D647B0">
              <w:t xml:space="preserve">203 </w:t>
            </w:r>
          </w:p>
        </w:tc>
        <w:tc>
          <w:tcPr>
            <w:tcW w:w="1860" w:type="dxa"/>
            <w:noWrap/>
            <w:vAlign w:val="center"/>
            <w:hideMark/>
          </w:tcPr>
          <w:p w14:paraId="70424B5D" w14:textId="77777777" w:rsidR="00893351" w:rsidRPr="00D647B0" w:rsidRDefault="00893351" w:rsidP="00C95B7B">
            <w:pPr>
              <w:pStyle w:val="TableParagraph"/>
            </w:pPr>
            <w:r w:rsidRPr="00D647B0">
              <w:t> </w:t>
            </w:r>
          </w:p>
        </w:tc>
      </w:tr>
      <w:tr w:rsidR="00893351" w:rsidRPr="00D647B0" w14:paraId="29BDD0D8" w14:textId="77777777" w:rsidTr="00C95B7B">
        <w:trPr>
          <w:trHeight w:val="432"/>
        </w:trPr>
        <w:tc>
          <w:tcPr>
            <w:tcW w:w="1425" w:type="dxa"/>
            <w:noWrap/>
            <w:vAlign w:val="center"/>
            <w:hideMark/>
          </w:tcPr>
          <w:p w14:paraId="7C29A584" w14:textId="3BFE649F" w:rsidR="00893351" w:rsidRPr="00D647B0" w:rsidRDefault="00AD793C" w:rsidP="00C95B7B">
            <w:pPr>
              <w:pStyle w:val="TableParagraph"/>
            </w:pPr>
            <w:r w:rsidRPr="00D647B0">
              <w:t xml:space="preserve">Tesoro </w:t>
            </w:r>
          </w:p>
        </w:tc>
        <w:tc>
          <w:tcPr>
            <w:tcW w:w="3744" w:type="dxa"/>
            <w:noWrap/>
            <w:vAlign w:val="center"/>
            <w:hideMark/>
          </w:tcPr>
          <w:p w14:paraId="64BFB0FD" w14:textId="26C5BEBC" w:rsidR="00893351" w:rsidRPr="00D647B0" w:rsidRDefault="00893351" w:rsidP="00C95B7B">
            <w:pPr>
              <w:pStyle w:val="TableParagraph"/>
            </w:pPr>
            <w:r w:rsidRPr="00D647B0">
              <w:t xml:space="preserve">F 752 </w:t>
            </w:r>
            <w:r w:rsidR="00AD793C" w:rsidRPr="00D647B0">
              <w:t>main boiler</w:t>
            </w:r>
          </w:p>
        </w:tc>
        <w:tc>
          <w:tcPr>
            <w:tcW w:w="1152" w:type="dxa"/>
            <w:noWrap/>
            <w:vAlign w:val="center"/>
            <w:hideMark/>
          </w:tcPr>
          <w:p w14:paraId="28F5B374" w14:textId="77777777" w:rsidR="00893351" w:rsidRPr="00D647B0" w:rsidRDefault="00893351" w:rsidP="00C95B7B">
            <w:pPr>
              <w:pStyle w:val="TableParagraph"/>
            </w:pPr>
            <w:r w:rsidRPr="00D647B0">
              <w:t xml:space="preserve">2,581 </w:t>
            </w:r>
          </w:p>
        </w:tc>
        <w:tc>
          <w:tcPr>
            <w:tcW w:w="1152" w:type="dxa"/>
            <w:noWrap/>
            <w:vAlign w:val="center"/>
            <w:hideMark/>
          </w:tcPr>
          <w:p w14:paraId="74F21EF0" w14:textId="77777777" w:rsidR="00893351" w:rsidRPr="00D647B0" w:rsidRDefault="00893351" w:rsidP="00C95B7B">
            <w:pPr>
              <w:pStyle w:val="TableParagraph"/>
            </w:pPr>
            <w:r w:rsidRPr="00D647B0">
              <w:t>10,513</w:t>
            </w:r>
          </w:p>
        </w:tc>
        <w:tc>
          <w:tcPr>
            <w:tcW w:w="1152" w:type="dxa"/>
            <w:noWrap/>
            <w:vAlign w:val="center"/>
            <w:hideMark/>
          </w:tcPr>
          <w:p w14:paraId="0799C711" w14:textId="77777777" w:rsidR="00893351" w:rsidRPr="00D647B0" w:rsidRDefault="00893351" w:rsidP="00C95B7B">
            <w:pPr>
              <w:pStyle w:val="TableParagraph"/>
            </w:pPr>
            <w:r w:rsidRPr="00D647B0">
              <w:t xml:space="preserve">170 </w:t>
            </w:r>
          </w:p>
        </w:tc>
        <w:tc>
          <w:tcPr>
            <w:tcW w:w="1860" w:type="dxa"/>
            <w:noWrap/>
            <w:vAlign w:val="center"/>
          </w:tcPr>
          <w:p w14:paraId="31767D9D" w14:textId="77777777" w:rsidR="00893351" w:rsidRPr="00D647B0" w:rsidRDefault="00893351" w:rsidP="00C95B7B">
            <w:pPr>
              <w:pStyle w:val="TableParagraph"/>
            </w:pPr>
          </w:p>
        </w:tc>
      </w:tr>
      <w:tr w:rsidR="00893351" w:rsidRPr="00D647B0" w14:paraId="7D33D5A9" w14:textId="77777777" w:rsidTr="00C95B7B">
        <w:trPr>
          <w:trHeight w:val="432"/>
        </w:trPr>
        <w:tc>
          <w:tcPr>
            <w:tcW w:w="1425" w:type="dxa"/>
            <w:noWrap/>
            <w:vAlign w:val="center"/>
            <w:hideMark/>
          </w:tcPr>
          <w:p w14:paraId="7201BC04" w14:textId="77777777" w:rsidR="00893351" w:rsidRPr="00D647B0" w:rsidRDefault="00893351" w:rsidP="00C95B7B">
            <w:pPr>
              <w:pStyle w:val="TableParagraph"/>
            </w:pPr>
            <w:r w:rsidRPr="00D647B0">
              <w:t>Sum</w:t>
            </w:r>
          </w:p>
        </w:tc>
        <w:tc>
          <w:tcPr>
            <w:tcW w:w="3744" w:type="dxa"/>
            <w:noWrap/>
            <w:vAlign w:val="center"/>
            <w:hideMark/>
          </w:tcPr>
          <w:p w14:paraId="4796E595" w14:textId="77777777" w:rsidR="00893351" w:rsidRPr="00D647B0" w:rsidRDefault="00893351" w:rsidP="00C95B7B">
            <w:pPr>
              <w:pStyle w:val="TableParagraph"/>
            </w:pPr>
            <w:r w:rsidRPr="00D647B0">
              <w:t> </w:t>
            </w:r>
          </w:p>
        </w:tc>
        <w:tc>
          <w:tcPr>
            <w:tcW w:w="1152" w:type="dxa"/>
            <w:noWrap/>
            <w:vAlign w:val="center"/>
            <w:hideMark/>
          </w:tcPr>
          <w:p w14:paraId="02F24FFC" w14:textId="77777777" w:rsidR="00893351" w:rsidRPr="00D647B0" w:rsidRDefault="00893351" w:rsidP="00C95B7B">
            <w:pPr>
              <w:pStyle w:val="TableParagraph"/>
            </w:pPr>
            <w:r w:rsidRPr="00D647B0">
              <w:t> </w:t>
            </w:r>
          </w:p>
        </w:tc>
        <w:tc>
          <w:tcPr>
            <w:tcW w:w="1152" w:type="dxa"/>
            <w:noWrap/>
            <w:vAlign w:val="center"/>
            <w:hideMark/>
          </w:tcPr>
          <w:p w14:paraId="24F33BA2" w14:textId="77777777" w:rsidR="00893351" w:rsidRPr="00D647B0" w:rsidRDefault="00893351" w:rsidP="00C95B7B">
            <w:pPr>
              <w:pStyle w:val="TableParagraph"/>
            </w:pPr>
            <w:r w:rsidRPr="00D647B0">
              <w:t> </w:t>
            </w:r>
          </w:p>
        </w:tc>
        <w:tc>
          <w:tcPr>
            <w:tcW w:w="1152" w:type="dxa"/>
            <w:noWrap/>
            <w:vAlign w:val="center"/>
            <w:hideMark/>
          </w:tcPr>
          <w:p w14:paraId="22437B77" w14:textId="77777777" w:rsidR="00893351" w:rsidRPr="00D647B0" w:rsidRDefault="00893351" w:rsidP="00C95B7B">
            <w:pPr>
              <w:pStyle w:val="TableParagraph"/>
            </w:pPr>
            <w:r w:rsidRPr="00D647B0">
              <w:t xml:space="preserve">3,779 </w:t>
            </w:r>
          </w:p>
        </w:tc>
        <w:tc>
          <w:tcPr>
            <w:tcW w:w="1860" w:type="dxa"/>
            <w:noWrap/>
            <w:vAlign w:val="center"/>
            <w:hideMark/>
          </w:tcPr>
          <w:p w14:paraId="11E444E6" w14:textId="77777777" w:rsidR="00893351" w:rsidRPr="00D647B0" w:rsidRDefault="00893351" w:rsidP="00C95B7B">
            <w:pPr>
              <w:pStyle w:val="TableParagraph"/>
            </w:pPr>
            <w:r w:rsidRPr="00D647B0">
              <w:t> </w:t>
            </w:r>
          </w:p>
        </w:tc>
      </w:tr>
    </w:tbl>
    <w:p w14:paraId="25CDDDE6" w14:textId="60F192C4" w:rsidR="00893351" w:rsidRPr="00D647B0" w:rsidRDefault="00D30605" w:rsidP="004D7D90">
      <w:pPr>
        <w:pStyle w:val="Heading4"/>
      </w:pPr>
      <w:bookmarkStart w:id="163" w:name="_Toc51673401"/>
      <w:bookmarkStart w:id="164" w:name="_Toc51674432"/>
      <w:r>
        <w:t>Reasonably Available Control Technology</w:t>
      </w:r>
      <w:bookmarkEnd w:id="163"/>
      <w:bookmarkEnd w:id="164"/>
    </w:p>
    <w:p w14:paraId="65C68D47" w14:textId="074E9E20" w:rsidR="00893351" w:rsidRPr="00D647B0" w:rsidRDefault="00893351" w:rsidP="008622A9">
      <w:pPr>
        <w:pStyle w:val="Paragraph"/>
      </w:pPr>
      <w:r w:rsidRPr="00D647B0">
        <w:t>The RH rule does not provide a direct enforcement mechanism</w:t>
      </w:r>
      <w:r w:rsidR="00D30605">
        <w:t>; states use their</w:t>
      </w:r>
      <w:r w:rsidRPr="00D647B0">
        <w:t xml:space="preserve"> existing laws, regulations, or processes to </w:t>
      </w:r>
      <w:r w:rsidR="00A2731F">
        <w:t>enforce</w:t>
      </w:r>
      <w:r w:rsidR="00A2731F" w:rsidRPr="00D647B0">
        <w:t xml:space="preserve"> </w:t>
      </w:r>
      <w:r w:rsidR="00D30605">
        <w:t>emission</w:t>
      </w:r>
      <w:r w:rsidR="00D30605" w:rsidRPr="00D647B0">
        <w:t xml:space="preserve"> </w:t>
      </w:r>
      <w:r w:rsidRPr="00D647B0">
        <w:t xml:space="preserve">reductions. </w:t>
      </w:r>
      <w:r w:rsidR="00D30605">
        <w:t>Washington State law includes provisions for requiring use of Reasonably Available Control Technology. RCW 70.94.154</w:t>
      </w:r>
      <w:r w:rsidR="0067717B">
        <w:t xml:space="preserve"> </w:t>
      </w:r>
    </w:p>
    <w:p w14:paraId="0D26DD00" w14:textId="582BAA5E" w:rsidR="00893351" w:rsidRPr="00D647B0" w:rsidRDefault="00893351" w:rsidP="008622A9">
      <w:pPr>
        <w:pStyle w:val="Paragraph"/>
      </w:pPr>
      <w:r w:rsidRPr="00D647B0">
        <w:t>RACT is determined on a case-by-case basis for an individual source or source category taking into account the source’s impact on air quality, the availability of additional controls, the emission reduction achieved by additional controls, the impact of additional controls on air quality, and the capital and operating costs of the additional controls.</w:t>
      </w:r>
      <w:r w:rsidR="00D30605">
        <w:t xml:space="preserve"> </w:t>
      </w:r>
      <w:r w:rsidR="002940FD">
        <w:t xml:space="preserve">The Federal Clean Air Act uses </w:t>
      </w:r>
      <w:r w:rsidR="00100946">
        <w:t>RACT for existing facilities</w:t>
      </w:r>
      <w:r w:rsidR="00100946" w:rsidRPr="00D647B0">
        <w:t xml:space="preserve"> </w:t>
      </w:r>
      <w:r w:rsidR="002940FD" w:rsidRPr="00D647B0">
        <w:t>under the National Ambient Air Quality Standards (NAAQS)</w:t>
      </w:r>
      <w:r w:rsidR="002940FD">
        <w:t xml:space="preserve"> in non-attainment areas. </w:t>
      </w:r>
      <w:r w:rsidR="00D30605" w:rsidRPr="00D647B0">
        <w:t xml:space="preserve">Washington’s RACT statue </w:t>
      </w:r>
      <w:r w:rsidR="002940FD">
        <w:t xml:space="preserve">is not limited to determination for </w:t>
      </w:r>
      <w:r w:rsidR="00D30605" w:rsidRPr="00D647B0">
        <w:t>attainment purposes</w:t>
      </w:r>
      <w:r w:rsidR="002940FD">
        <w:t>.</w:t>
      </w:r>
      <w:r w:rsidR="00D30605" w:rsidRPr="00D647B0">
        <w:t>.</w:t>
      </w:r>
    </w:p>
    <w:p w14:paraId="26F8F44F" w14:textId="77777777" w:rsidR="00893351" w:rsidRPr="008622A9" w:rsidRDefault="00893351" w:rsidP="00262049">
      <w:pPr>
        <w:pStyle w:val="ListParagraph"/>
        <w:numPr>
          <w:ilvl w:val="0"/>
          <w:numId w:val="13"/>
        </w:numPr>
        <w:ind w:left="360"/>
        <w:rPr>
          <w:rFonts w:asciiTheme="minorHAnsi" w:hAnsiTheme="minorHAnsi" w:cstheme="minorHAnsi"/>
          <w:szCs w:val="24"/>
        </w:rPr>
      </w:pPr>
      <w:r w:rsidRPr="00D647B0">
        <w:t xml:space="preserve">Impact on </w:t>
      </w:r>
      <w:r w:rsidRPr="008622A9">
        <w:rPr>
          <w:rFonts w:asciiTheme="minorHAnsi" w:hAnsiTheme="minorHAnsi" w:cstheme="minorHAnsi"/>
          <w:szCs w:val="24"/>
        </w:rPr>
        <w:t>air quality</w:t>
      </w:r>
    </w:p>
    <w:p w14:paraId="37C15417" w14:textId="0A3528C3" w:rsidR="00893351" w:rsidRPr="008622A9" w:rsidRDefault="00893351"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 xml:space="preserve">The </w:t>
      </w:r>
      <w:r w:rsidR="00A2731F" w:rsidRPr="008622A9">
        <w:rPr>
          <w:rFonts w:asciiTheme="minorHAnsi" w:hAnsiTheme="minorHAnsi" w:cstheme="minorHAnsi"/>
          <w:szCs w:val="24"/>
        </w:rPr>
        <w:t>National Park Service (NPS</w:t>
      </w:r>
      <w:r w:rsidR="00A2731F" w:rsidRPr="008622A9" w:rsidDel="00D9775F">
        <w:rPr>
          <w:rFonts w:asciiTheme="minorHAnsi" w:hAnsiTheme="minorHAnsi" w:cstheme="minorHAnsi"/>
          <w:szCs w:val="24"/>
        </w:rPr>
        <w:t>)</w:t>
      </w:r>
      <w:r w:rsidRPr="008622A9" w:rsidDel="00A2731F">
        <w:rPr>
          <w:rFonts w:asciiTheme="minorHAnsi" w:hAnsiTheme="minorHAnsi" w:cstheme="minorHAnsi"/>
          <w:szCs w:val="24"/>
        </w:rPr>
        <w:t xml:space="preserve"> </w:t>
      </w:r>
      <w:r w:rsidRPr="008622A9">
        <w:rPr>
          <w:rFonts w:asciiTheme="minorHAnsi" w:hAnsiTheme="minorHAnsi" w:cstheme="minorHAnsi"/>
          <w:szCs w:val="24"/>
        </w:rPr>
        <w:t>declared during Prevention of Significant Deterioration (PSD) permit comment periods for BP (December 2016) and Tesoro (April 2017) that the</w:t>
      </w:r>
      <w:r w:rsidR="00A2731F" w:rsidRPr="008622A9">
        <w:rPr>
          <w:rFonts w:asciiTheme="minorHAnsi" w:hAnsiTheme="minorHAnsi" w:cstheme="minorHAnsi"/>
          <w:szCs w:val="24"/>
        </w:rPr>
        <w:t xml:space="preserve"> refineries</w:t>
      </w:r>
      <w:r w:rsidRPr="008622A9">
        <w:rPr>
          <w:rFonts w:asciiTheme="minorHAnsi" w:hAnsiTheme="minorHAnsi" w:cstheme="minorHAnsi"/>
          <w:szCs w:val="24"/>
        </w:rPr>
        <w:t xml:space="preserve"> are impacting</w:t>
      </w:r>
      <w:r w:rsidRPr="008622A9" w:rsidDel="00961872">
        <w:rPr>
          <w:rFonts w:asciiTheme="minorHAnsi" w:hAnsiTheme="minorHAnsi" w:cstheme="minorHAnsi"/>
          <w:szCs w:val="24"/>
        </w:rPr>
        <w:t xml:space="preserve"> </w:t>
      </w:r>
      <w:r w:rsidR="00A2731F" w:rsidRPr="008622A9">
        <w:rPr>
          <w:rFonts w:asciiTheme="minorHAnsi" w:hAnsiTheme="minorHAnsi" w:cstheme="minorHAnsi"/>
          <w:szCs w:val="24"/>
        </w:rPr>
        <w:t>CIAs.</w:t>
      </w:r>
    </w:p>
    <w:p w14:paraId="0EC3C495" w14:textId="00D3102F" w:rsidR="00893351" w:rsidRPr="008622A9" w:rsidRDefault="00893351"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 xml:space="preserve">Ecology estimates the </w:t>
      </w:r>
      <w:r w:rsidR="0075109F" w:rsidRPr="001E255C">
        <w:rPr>
          <w:rStyle w:val="ParagraphChar"/>
        </w:rPr>
        <w:t>NO</w:t>
      </w:r>
      <w:r w:rsidR="0075109F" w:rsidRPr="001E255C">
        <w:rPr>
          <w:rStyle w:val="ParagraphChar"/>
          <w:vertAlign w:val="subscript"/>
        </w:rPr>
        <w:t>X</w:t>
      </w:r>
      <w:r w:rsidR="0075109F">
        <w:rPr>
          <w:rFonts w:asciiTheme="minorHAnsi" w:hAnsiTheme="minorHAnsi" w:cstheme="minorHAnsi"/>
          <w:szCs w:val="24"/>
        </w:rPr>
        <w:t xml:space="preserve"> refinery emission reductions on the </w:t>
      </w:r>
      <w:r w:rsidRPr="008622A9">
        <w:rPr>
          <w:rFonts w:asciiTheme="minorHAnsi" w:hAnsiTheme="minorHAnsi" w:cstheme="minorHAnsi"/>
          <w:szCs w:val="24"/>
        </w:rPr>
        <w:t>Olympic N</w:t>
      </w:r>
      <w:r w:rsidR="0075109F">
        <w:rPr>
          <w:rFonts w:asciiTheme="minorHAnsi" w:hAnsiTheme="minorHAnsi" w:cstheme="minorHAnsi"/>
          <w:szCs w:val="24"/>
        </w:rPr>
        <w:t>ational Park</w:t>
      </w:r>
      <w:r w:rsidRPr="008622A9">
        <w:rPr>
          <w:rFonts w:asciiTheme="minorHAnsi" w:hAnsiTheme="minorHAnsi" w:cstheme="minorHAnsi"/>
          <w:szCs w:val="24"/>
        </w:rPr>
        <w:t xml:space="preserve"> from 5,900 to 2,100 tpy.</w:t>
      </w:r>
    </w:p>
    <w:p w14:paraId="075953E3" w14:textId="29703A47" w:rsidR="00893351" w:rsidRPr="008622A9" w:rsidRDefault="00893351"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 xml:space="preserve">A PSD permit issued to BP increased the Q/d </w:t>
      </w:r>
      <w:r w:rsidR="0075109F">
        <w:rPr>
          <w:rFonts w:asciiTheme="minorHAnsi" w:hAnsiTheme="minorHAnsi" w:cstheme="minorHAnsi"/>
          <w:szCs w:val="24"/>
        </w:rPr>
        <w:t xml:space="preserve">screening </w:t>
      </w:r>
      <w:r w:rsidRPr="008622A9">
        <w:rPr>
          <w:rFonts w:asciiTheme="minorHAnsi" w:hAnsiTheme="minorHAnsi" w:cstheme="minorHAnsi"/>
          <w:szCs w:val="24"/>
        </w:rPr>
        <w:t xml:space="preserve">calculation by </w:t>
      </w:r>
      <w:r w:rsidR="00D9775F" w:rsidRPr="008622A9">
        <w:rPr>
          <w:rFonts w:asciiTheme="minorHAnsi" w:hAnsiTheme="minorHAnsi" w:cstheme="minorHAnsi"/>
          <w:szCs w:val="24"/>
        </w:rPr>
        <w:t>four</w:t>
      </w:r>
      <w:r w:rsidRPr="008622A9">
        <w:rPr>
          <w:rFonts w:asciiTheme="minorHAnsi" w:hAnsiTheme="minorHAnsi" w:cstheme="minorHAnsi"/>
          <w:szCs w:val="24"/>
        </w:rPr>
        <w:t>.</w:t>
      </w:r>
      <w:r w:rsidR="003D1D4A">
        <w:rPr>
          <w:rFonts w:asciiTheme="minorHAnsi" w:hAnsiTheme="minorHAnsi" w:cstheme="minorHAnsi"/>
          <w:szCs w:val="24"/>
        </w:rPr>
        <w:t xml:space="preserve"> BP’s modeled impact was a 2.77 percent</w:t>
      </w:r>
      <w:r w:rsidRPr="008622A9">
        <w:rPr>
          <w:rFonts w:asciiTheme="minorHAnsi" w:hAnsiTheme="minorHAnsi" w:cstheme="minorHAnsi"/>
          <w:szCs w:val="24"/>
        </w:rPr>
        <w:t xml:space="preserve"> change in visibility</w:t>
      </w:r>
      <w:r w:rsidR="0075109F">
        <w:rPr>
          <w:rFonts w:asciiTheme="minorHAnsi" w:hAnsiTheme="minorHAnsi" w:cstheme="minorHAnsi"/>
          <w:szCs w:val="24"/>
        </w:rPr>
        <w:t xml:space="preserve">. </w:t>
      </w:r>
      <w:r w:rsidR="00D9775F">
        <w:rPr>
          <w:rFonts w:asciiTheme="minorHAnsi" w:hAnsiTheme="minorHAnsi" w:cstheme="minorHAnsi"/>
          <w:szCs w:val="24"/>
        </w:rPr>
        <w:t>We consider a</w:t>
      </w:r>
      <w:r w:rsidRPr="008622A9">
        <w:rPr>
          <w:rFonts w:asciiTheme="minorHAnsi" w:hAnsiTheme="minorHAnsi" w:cstheme="minorHAnsi"/>
          <w:szCs w:val="24"/>
        </w:rPr>
        <w:t xml:space="preserve"> change of 5</w:t>
      </w:r>
      <w:r w:rsidR="00D9775F">
        <w:rPr>
          <w:rFonts w:asciiTheme="minorHAnsi" w:hAnsiTheme="minorHAnsi" w:cstheme="minorHAnsi"/>
          <w:szCs w:val="24"/>
        </w:rPr>
        <w:t xml:space="preserve"> percent</w:t>
      </w:r>
      <w:r w:rsidRPr="008622A9">
        <w:rPr>
          <w:rFonts w:asciiTheme="minorHAnsi" w:hAnsiTheme="minorHAnsi" w:cstheme="minorHAnsi"/>
          <w:szCs w:val="24"/>
        </w:rPr>
        <w:t xml:space="preserve"> or more </w:t>
      </w:r>
      <w:r w:rsidR="00D9775F">
        <w:rPr>
          <w:rFonts w:asciiTheme="minorHAnsi" w:hAnsiTheme="minorHAnsi" w:cstheme="minorHAnsi"/>
          <w:szCs w:val="24"/>
        </w:rPr>
        <w:t>as</w:t>
      </w:r>
      <w:r w:rsidRPr="008622A9">
        <w:rPr>
          <w:rFonts w:asciiTheme="minorHAnsi" w:hAnsiTheme="minorHAnsi" w:cstheme="minorHAnsi"/>
          <w:szCs w:val="24"/>
        </w:rPr>
        <w:t xml:space="preserve"> perceivable</w:t>
      </w:r>
      <w:r w:rsidR="002B3229">
        <w:rPr>
          <w:rFonts w:asciiTheme="minorHAnsi" w:hAnsiTheme="minorHAnsi" w:cstheme="minorHAnsi"/>
          <w:szCs w:val="24"/>
        </w:rPr>
        <w:t>.</w:t>
      </w:r>
      <w:r w:rsidR="002B3229" w:rsidDel="00961872">
        <w:rPr>
          <w:rFonts w:asciiTheme="minorHAnsi" w:hAnsiTheme="minorHAnsi" w:cstheme="minorHAnsi"/>
          <w:szCs w:val="24"/>
        </w:rPr>
        <w:t xml:space="preserve"> </w:t>
      </w:r>
      <w:r w:rsidR="002B3229">
        <w:rPr>
          <w:rFonts w:asciiTheme="minorHAnsi" w:hAnsiTheme="minorHAnsi" w:cstheme="minorHAnsi"/>
          <w:szCs w:val="24"/>
        </w:rPr>
        <w:t xml:space="preserve">The total Q/d for all the refineries is about </w:t>
      </w:r>
      <w:r w:rsidR="002B3229" w:rsidDel="00B920F9">
        <w:rPr>
          <w:rFonts w:asciiTheme="minorHAnsi" w:hAnsiTheme="minorHAnsi" w:cstheme="minorHAnsi"/>
          <w:szCs w:val="24"/>
        </w:rPr>
        <w:t>120</w:t>
      </w:r>
      <w:r w:rsidR="00B920F9">
        <w:rPr>
          <w:rFonts w:asciiTheme="minorHAnsi" w:hAnsiTheme="minorHAnsi" w:cstheme="minorHAnsi"/>
          <w:szCs w:val="24"/>
        </w:rPr>
        <w:t>, which</w:t>
      </w:r>
      <w:r w:rsidR="002B3229">
        <w:rPr>
          <w:rFonts w:asciiTheme="minorHAnsi" w:hAnsiTheme="minorHAnsi" w:cstheme="minorHAnsi"/>
          <w:szCs w:val="24"/>
        </w:rPr>
        <w:t xml:space="preserve"> is 30 times the </w:t>
      </w:r>
      <w:r w:rsidR="002B3229" w:rsidDel="00B920F9">
        <w:rPr>
          <w:rFonts w:asciiTheme="minorHAnsi" w:hAnsiTheme="minorHAnsi" w:cstheme="minorHAnsi"/>
          <w:szCs w:val="24"/>
        </w:rPr>
        <w:t>above</w:t>
      </w:r>
      <w:r w:rsidR="00764134">
        <w:rPr>
          <w:rFonts w:asciiTheme="minorHAnsi" w:hAnsiTheme="minorHAnsi" w:cstheme="minorHAnsi"/>
          <w:szCs w:val="24"/>
        </w:rPr>
        <w:t xml:space="preserve"> </w:t>
      </w:r>
      <w:r w:rsidR="00B920F9">
        <w:rPr>
          <w:rFonts w:asciiTheme="minorHAnsi" w:hAnsiTheme="minorHAnsi" w:cstheme="minorHAnsi"/>
          <w:szCs w:val="24"/>
        </w:rPr>
        <w:t>modelled</w:t>
      </w:r>
      <w:r w:rsidR="002B3229">
        <w:rPr>
          <w:rFonts w:asciiTheme="minorHAnsi" w:hAnsiTheme="minorHAnsi" w:cstheme="minorHAnsi"/>
          <w:szCs w:val="24"/>
        </w:rPr>
        <w:t xml:space="preserve"> impacts.</w:t>
      </w:r>
    </w:p>
    <w:p w14:paraId="08F3D115" w14:textId="6BCC1AC1" w:rsidR="00893351" w:rsidRPr="008622A9" w:rsidRDefault="00893351" w:rsidP="00262049">
      <w:pPr>
        <w:pStyle w:val="ListParagraph"/>
        <w:numPr>
          <w:ilvl w:val="1"/>
          <w:numId w:val="13"/>
        </w:numPr>
        <w:spacing w:before="0" w:after="160"/>
        <w:ind w:left="1080"/>
        <w:contextualSpacing/>
        <w:rPr>
          <w:rFonts w:asciiTheme="minorHAnsi" w:hAnsiTheme="minorHAnsi" w:cstheme="minorHAnsi"/>
          <w:szCs w:val="24"/>
        </w:rPr>
      </w:pPr>
      <w:r w:rsidRPr="008622A9">
        <w:rPr>
          <w:rStyle w:val="title-h1"/>
          <w:rFonts w:asciiTheme="minorHAnsi" w:hAnsiTheme="minorHAnsi" w:cstheme="minorHAnsi"/>
          <w:szCs w:val="24"/>
        </w:rPr>
        <w:t xml:space="preserve">The Washington Environmental Health Disparities Map has identified the Anacortes community as a high impact area </w:t>
      </w:r>
      <w:r w:rsidR="003C7595" w:rsidRPr="008622A9">
        <w:rPr>
          <w:rStyle w:val="title-h1"/>
          <w:rFonts w:asciiTheme="minorHAnsi" w:hAnsiTheme="minorHAnsi" w:cstheme="minorHAnsi"/>
          <w:szCs w:val="24"/>
        </w:rPr>
        <w:t>fo</w:t>
      </w:r>
      <w:r w:rsidRPr="008622A9">
        <w:rPr>
          <w:rStyle w:val="title-h1"/>
          <w:rFonts w:asciiTheme="minorHAnsi" w:hAnsiTheme="minorHAnsi" w:cstheme="minorHAnsi"/>
          <w:szCs w:val="24"/>
        </w:rPr>
        <w:t>r Environmental Justice</w:t>
      </w:r>
      <w:r w:rsidR="003C7595" w:rsidRPr="008622A9">
        <w:rPr>
          <w:rStyle w:val="title-h1"/>
          <w:rFonts w:asciiTheme="minorHAnsi" w:hAnsiTheme="minorHAnsi" w:cstheme="minorHAnsi"/>
          <w:szCs w:val="24"/>
        </w:rPr>
        <w:t xml:space="preserve"> concerns</w:t>
      </w:r>
      <w:r w:rsidRPr="008622A9">
        <w:rPr>
          <w:rStyle w:val="title-h1"/>
          <w:rFonts w:asciiTheme="minorHAnsi" w:hAnsiTheme="minorHAnsi" w:cstheme="minorHAnsi"/>
          <w:szCs w:val="24"/>
        </w:rPr>
        <w:t>.</w:t>
      </w:r>
      <w:r w:rsidR="0067717B" w:rsidRPr="008622A9">
        <w:rPr>
          <w:rStyle w:val="title-h1"/>
          <w:rFonts w:asciiTheme="minorHAnsi" w:hAnsiTheme="minorHAnsi" w:cstheme="minorHAnsi"/>
          <w:szCs w:val="24"/>
        </w:rPr>
        <w:t xml:space="preserve"> </w:t>
      </w:r>
      <w:r w:rsidRPr="008622A9">
        <w:rPr>
          <w:rStyle w:val="title-h1"/>
          <w:rFonts w:asciiTheme="minorHAnsi" w:hAnsiTheme="minorHAnsi" w:cstheme="minorHAnsi"/>
          <w:szCs w:val="24"/>
        </w:rPr>
        <w:t xml:space="preserve">The </w:t>
      </w:r>
      <w:r w:rsidRPr="008622A9">
        <w:rPr>
          <w:rFonts w:asciiTheme="minorHAnsi" w:hAnsiTheme="minorHAnsi" w:cstheme="minorHAnsi"/>
          <w:szCs w:val="24"/>
        </w:rPr>
        <w:t xml:space="preserve">Tesoro’s </w:t>
      </w:r>
      <w:r w:rsidRPr="008622A9">
        <w:rPr>
          <w:rFonts w:asciiTheme="minorHAnsi" w:hAnsiTheme="minorHAnsi" w:cstheme="minorHAnsi"/>
          <w:szCs w:val="24"/>
        </w:rPr>
        <w:lastRenderedPageBreak/>
        <w:t xml:space="preserve">site emissions (Anacortes) are about 2,000 tpy </w:t>
      </w:r>
      <w:r w:rsidR="000C2EB3" w:rsidRPr="001E255C">
        <w:rPr>
          <w:rStyle w:val="ParagraphChar"/>
        </w:rPr>
        <w:t>NO</w:t>
      </w:r>
      <w:r w:rsidR="000C2EB3" w:rsidRPr="001E255C">
        <w:rPr>
          <w:rStyle w:val="ParagraphChar"/>
          <w:vertAlign w:val="subscript"/>
        </w:rPr>
        <w:t>X</w:t>
      </w:r>
      <w:r w:rsidRPr="008622A9">
        <w:rPr>
          <w:rFonts w:asciiTheme="minorHAnsi" w:hAnsiTheme="minorHAnsi" w:cstheme="minorHAnsi"/>
          <w:szCs w:val="24"/>
        </w:rPr>
        <w:t xml:space="preserve"> and the Shell site emissions are about 1,500 tpy </w:t>
      </w:r>
      <w:r w:rsidR="000C2EB3" w:rsidRPr="001E255C">
        <w:rPr>
          <w:rStyle w:val="ParagraphChar"/>
        </w:rPr>
        <w:t>NO</w:t>
      </w:r>
      <w:r w:rsidR="000C2EB3" w:rsidRPr="001E255C">
        <w:rPr>
          <w:rStyle w:val="ParagraphChar"/>
          <w:vertAlign w:val="subscript"/>
        </w:rPr>
        <w:t>X</w:t>
      </w:r>
      <w:r w:rsidR="00644124">
        <w:rPr>
          <w:rStyle w:val="FootnoteReference"/>
          <w:rFonts w:asciiTheme="minorHAnsi" w:hAnsiTheme="minorHAnsi"/>
        </w:rPr>
        <w:footnoteReference w:id="24"/>
      </w:r>
      <w:r w:rsidRPr="008622A9">
        <w:rPr>
          <w:rFonts w:asciiTheme="minorHAnsi" w:hAnsiTheme="minorHAnsi" w:cstheme="minorHAnsi"/>
          <w:szCs w:val="24"/>
        </w:rPr>
        <w:t>.</w:t>
      </w:r>
      <w:r w:rsidR="0067717B" w:rsidRPr="008622A9">
        <w:rPr>
          <w:rFonts w:asciiTheme="minorHAnsi" w:hAnsiTheme="minorHAnsi" w:cstheme="minorHAnsi"/>
          <w:szCs w:val="24"/>
        </w:rPr>
        <w:t xml:space="preserve"> </w:t>
      </w:r>
    </w:p>
    <w:p w14:paraId="3399E8CC" w14:textId="1B47578A" w:rsidR="00893351" w:rsidRPr="008622A9" w:rsidRDefault="001E255C" w:rsidP="00262049">
      <w:pPr>
        <w:pStyle w:val="ListParagraph"/>
        <w:numPr>
          <w:ilvl w:val="1"/>
          <w:numId w:val="13"/>
        </w:numPr>
        <w:spacing w:before="0" w:after="160"/>
        <w:ind w:left="1080"/>
        <w:contextualSpacing/>
        <w:rPr>
          <w:rFonts w:asciiTheme="minorHAnsi" w:hAnsiTheme="minorHAnsi" w:cstheme="minorHAnsi"/>
          <w:szCs w:val="24"/>
        </w:rPr>
      </w:pPr>
      <w:r w:rsidRPr="001E255C">
        <w:rPr>
          <w:rStyle w:val="ParagraphChar"/>
        </w:rPr>
        <w:t>NO</w:t>
      </w:r>
      <w:r w:rsidRPr="001E255C">
        <w:rPr>
          <w:rStyle w:val="ParagraphChar"/>
          <w:vertAlign w:val="subscript"/>
        </w:rPr>
        <w:t>X</w:t>
      </w:r>
      <w:r w:rsidR="00893351" w:rsidRPr="008622A9">
        <w:rPr>
          <w:rFonts w:asciiTheme="minorHAnsi" w:hAnsiTheme="minorHAnsi" w:cstheme="minorHAnsi"/>
          <w:szCs w:val="24"/>
        </w:rPr>
        <w:t xml:space="preserve"> emissions </w:t>
      </w:r>
      <w:r w:rsidR="00893351" w:rsidRPr="008622A9" w:rsidDel="003C7595">
        <w:rPr>
          <w:rFonts w:asciiTheme="minorHAnsi" w:hAnsiTheme="minorHAnsi" w:cstheme="minorHAnsi"/>
          <w:szCs w:val="24"/>
        </w:rPr>
        <w:t xml:space="preserve">mainly </w:t>
      </w:r>
      <w:r w:rsidR="00893351" w:rsidRPr="008622A9">
        <w:rPr>
          <w:rFonts w:asciiTheme="minorHAnsi" w:hAnsiTheme="minorHAnsi" w:cstheme="minorHAnsi"/>
          <w:szCs w:val="24"/>
        </w:rPr>
        <w:t xml:space="preserve">impact respiratory conditions causing inflammation of the airways at high levels. </w:t>
      </w:r>
      <w:r w:rsidR="00B920F9" w:rsidRPr="008622A9">
        <w:rPr>
          <w:rFonts w:asciiTheme="minorHAnsi" w:hAnsiTheme="minorHAnsi" w:cstheme="minorHAnsi"/>
          <w:szCs w:val="24"/>
        </w:rPr>
        <w:t>Long-term</w:t>
      </w:r>
      <w:r w:rsidR="00893351" w:rsidRPr="008622A9">
        <w:rPr>
          <w:rFonts w:asciiTheme="minorHAnsi" w:hAnsiTheme="minorHAnsi" w:cstheme="minorHAnsi"/>
          <w:szCs w:val="24"/>
        </w:rPr>
        <w:t xml:space="preserve"> exposure can decrease lung function, increase the risk of respiratory conditions and increases the response to allergens.</w:t>
      </w:r>
    </w:p>
    <w:p w14:paraId="3284A530" w14:textId="77777777" w:rsidR="00893351" w:rsidRPr="008622A9" w:rsidRDefault="00893351" w:rsidP="00262049">
      <w:pPr>
        <w:pStyle w:val="ListParagraph"/>
        <w:numPr>
          <w:ilvl w:val="0"/>
          <w:numId w:val="13"/>
        </w:numPr>
        <w:ind w:left="360"/>
        <w:rPr>
          <w:rFonts w:asciiTheme="minorHAnsi" w:hAnsiTheme="minorHAnsi" w:cstheme="minorHAnsi"/>
          <w:szCs w:val="24"/>
        </w:rPr>
      </w:pPr>
      <w:r w:rsidRPr="008622A9">
        <w:rPr>
          <w:rFonts w:asciiTheme="minorHAnsi" w:hAnsiTheme="minorHAnsi" w:cstheme="minorHAnsi"/>
          <w:szCs w:val="24"/>
        </w:rPr>
        <w:t>Availability of additional controls</w:t>
      </w:r>
    </w:p>
    <w:p w14:paraId="25C1FC6E" w14:textId="5205E2E6" w:rsidR="00893351" w:rsidRPr="008622A9" w:rsidRDefault="003C7595"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Various industry groups have installed more than</w:t>
      </w:r>
      <w:r w:rsidR="00893351" w:rsidRPr="008622A9">
        <w:rPr>
          <w:rFonts w:asciiTheme="minorHAnsi" w:hAnsiTheme="minorHAnsi" w:cstheme="minorHAnsi"/>
          <w:szCs w:val="24"/>
        </w:rPr>
        <w:t xml:space="preserve"> 1,000 SCR controls during the last 20 years.</w:t>
      </w:r>
      <w:r w:rsidR="0067717B" w:rsidRPr="008622A9">
        <w:rPr>
          <w:rFonts w:asciiTheme="minorHAnsi" w:hAnsiTheme="minorHAnsi" w:cstheme="minorHAnsi"/>
          <w:szCs w:val="24"/>
        </w:rPr>
        <w:t xml:space="preserve"> </w:t>
      </w:r>
      <w:r w:rsidR="00893351" w:rsidRPr="008622A9">
        <w:rPr>
          <w:rFonts w:asciiTheme="minorHAnsi" w:hAnsiTheme="minorHAnsi" w:cstheme="minorHAnsi"/>
          <w:szCs w:val="24"/>
        </w:rPr>
        <w:t xml:space="preserve">The cost of SCR has </w:t>
      </w:r>
      <w:r w:rsidR="00BF1DC0">
        <w:rPr>
          <w:rFonts w:asciiTheme="minorHAnsi" w:hAnsiTheme="minorHAnsi" w:cstheme="minorHAnsi"/>
          <w:szCs w:val="24"/>
        </w:rPr>
        <w:t>decreas</w:t>
      </w:r>
      <w:r w:rsidRPr="008622A9">
        <w:rPr>
          <w:rFonts w:asciiTheme="minorHAnsi" w:hAnsiTheme="minorHAnsi" w:cstheme="minorHAnsi"/>
          <w:szCs w:val="24"/>
        </w:rPr>
        <w:t xml:space="preserve">ed </w:t>
      </w:r>
      <w:r w:rsidR="00893351" w:rsidRPr="008622A9">
        <w:rPr>
          <w:rFonts w:asciiTheme="minorHAnsi" w:hAnsiTheme="minorHAnsi" w:cstheme="minorHAnsi"/>
          <w:szCs w:val="24"/>
        </w:rPr>
        <w:t xml:space="preserve">because of the </w:t>
      </w:r>
      <w:r w:rsidRPr="008622A9">
        <w:rPr>
          <w:rFonts w:asciiTheme="minorHAnsi" w:hAnsiTheme="minorHAnsi" w:cstheme="minorHAnsi"/>
          <w:szCs w:val="24"/>
        </w:rPr>
        <w:t xml:space="preserve">increased </w:t>
      </w:r>
      <w:r w:rsidR="00893351" w:rsidRPr="008622A9">
        <w:rPr>
          <w:rFonts w:asciiTheme="minorHAnsi" w:hAnsiTheme="minorHAnsi" w:cstheme="minorHAnsi"/>
          <w:szCs w:val="24"/>
        </w:rPr>
        <w:t>demand.</w:t>
      </w:r>
    </w:p>
    <w:p w14:paraId="1DFDC135" w14:textId="62DE266A" w:rsidR="00893351" w:rsidRPr="008622A9" w:rsidRDefault="00893351"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Most major</w:t>
      </w:r>
      <w:r w:rsidRPr="008622A9" w:rsidDel="0075109F">
        <w:rPr>
          <w:rFonts w:asciiTheme="minorHAnsi" w:hAnsiTheme="minorHAnsi" w:cstheme="minorHAnsi"/>
          <w:szCs w:val="24"/>
        </w:rPr>
        <w:t xml:space="preserve"> </w:t>
      </w:r>
      <w:r w:rsidRPr="008622A9">
        <w:rPr>
          <w:rFonts w:asciiTheme="minorHAnsi" w:hAnsiTheme="minorHAnsi" w:cstheme="minorHAnsi"/>
          <w:szCs w:val="24"/>
        </w:rPr>
        <w:t xml:space="preserve">US refineries have already installed SCR or </w:t>
      </w:r>
      <w:r w:rsidR="0019053A">
        <w:rPr>
          <w:rFonts w:asciiTheme="minorHAnsi" w:hAnsiTheme="minorHAnsi" w:cstheme="minorHAnsi"/>
          <w:szCs w:val="24"/>
        </w:rPr>
        <w:t>Low-NOx</w:t>
      </w:r>
      <w:r w:rsidRPr="008622A9">
        <w:rPr>
          <w:rFonts w:asciiTheme="minorHAnsi" w:hAnsiTheme="minorHAnsi" w:cstheme="minorHAnsi"/>
          <w:szCs w:val="24"/>
        </w:rPr>
        <w:t xml:space="preserve"> Burners to control emissions from heaters, boilers, and FCCU</w:t>
      </w:r>
      <w:r w:rsidR="003C7595" w:rsidRPr="008622A9">
        <w:rPr>
          <w:rFonts w:asciiTheme="minorHAnsi" w:hAnsiTheme="minorHAnsi" w:cstheme="minorHAnsi"/>
          <w:szCs w:val="24"/>
        </w:rPr>
        <w:t>.</w:t>
      </w:r>
    </w:p>
    <w:p w14:paraId="2AE9DF67" w14:textId="77777777" w:rsidR="00893351" w:rsidRPr="008622A9" w:rsidRDefault="00893351" w:rsidP="00262049">
      <w:pPr>
        <w:pStyle w:val="ListParagraph"/>
        <w:numPr>
          <w:ilvl w:val="0"/>
          <w:numId w:val="13"/>
        </w:numPr>
        <w:ind w:left="360"/>
        <w:rPr>
          <w:rFonts w:asciiTheme="minorHAnsi" w:hAnsiTheme="minorHAnsi" w:cstheme="minorHAnsi"/>
          <w:szCs w:val="24"/>
        </w:rPr>
      </w:pPr>
      <w:r w:rsidRPr="008622A9">
        <w:rPr>
          <w:rFonts w:asciiTheme="minorHAnsi" w:hAnsiTheme="minorHAnsi" w:cstheme="minorHAnsi"/>
          <w:szCs w:val="24"/>
        </w:rPr>
        <w:t>Emission reductions</w:t>
      </w:r>
    </w:p>
    <w:p w14:paraId="692C4164" w14:textId="6D83B7B4" w:rsidR="00893351" w:rsidRPr="008622A9" w:rsidRDefault="00893351"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 xml:space="preserve">SCR suppliers are quoting 95% </w:t>
      </w:r>
      <w:r w:rsidR="001E255C" w:rsidRPr="001E255C">
        <w:rPr>
          <w:rStyle w:val="ParagraphChar"/>
        </w:rPr>
        <w:t>NO</w:t>
      </w:r>
      <w:r w:rsidR="001E255C" w:rsidRPr="001E255C">
        <w:rPr>
          <w:rStyle w:val="ParagraphChar"/>
          <w:vertAlign w:val="subscript"/>
        </w:rPr>
        <w:t>X</w:t>
      </w:r>
      <w:r w:rsidRPr="008622A9">
        <w:rPr>
          <w:rFonts w:asciiTheme="minorHAnsi" w:hAnsiTheme="minorHAnsi" w:cstheme="minorHAnsi"/>
          <w:szCs w:val="24"/>
        </w:rPr>
        <w:t xml:space="preserve"> emission reductions, less than 5 ppm </w:t>
      </w:r>
      <w:r w:rsidR="001E255C" w:rsidRPr="001E255C">
        <w:rPr>
          <w:rStyle w:val="ParagraphChar"/>
        </w:rPr>
        <w:t>NO</w:t>
      </w:r>
      <w:r w:rsidR="001E255C" w:rsidRPr="001E255C">
        <w:rPr>
          <w:rStyle w:val="ParagraphChar"/>
          <w:vertAlign w:val="subscript"/>
        </w:rPr>
        <w:t>X</w:t>
      </w:r>
      <w:r w:rsidRPr="008622A9">
        <w:rPr>
          <w:rFonts w:asciiTheme="minorHAnsi" w:hAnsiTheme="minorHAnsi" w:cstheme="minorHAnsi"/>
          <w:szCs w:val="24"/>
        </w:rPr>
        <w:t xml:space="preserve"> emissions concentrations, and</w:t>
      </w:r>
      <w:r w:rsidRPr="008622A9" w:rsidDel="003C7595">
        <w:rPr>
          <w:rFonts w:asciiTheme="minorHAnsi" w:hAnsiTheme="minorHAnsi" w:cstheme="minorHAnsi"/>
          <w:szCs w:val="24"/>
        </w:rPr>
        <w:t xml:space="preserve"> </w:t>
      </w:r>
      <w:r w:rsidRPr="008622A9">
        <w:rPr>
          <w:rFonts w:asciiTheme="minorHAnsi" w:hAnsiTheme="minorHAnsi" w:cstheme="minorHAnsi"/>
          <w:szCs w:val="24"/>
        </w:rPr>
        <w:t>less than 2 ppm ammonia slip.</w:t>
      </w:r>
    </w:p>
    <w:p w14:paraId="61D58466" w14:textId="77777777" w:rsidR="00893351" w:rsidRPr="008622A9" w:rsidRDefault="00893351"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Ecology has conservatively used a 90% reduction value in our analysis.</w:t>
      </w:r>
    </w:p>
    <w:p w14:paraId="57452C8C" w14:textId="3400DF8B" w:rsidR="00893351" w:rsidRPr="008622A9" w:rsidRDefault="00893351"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 xml:space="preserve">The 90% </w:t>
      </w:r>
      <w:r w:rsidR="001E255C" w:rsidRPr="001E255C">
        <w:rPr>
          <w:rStyle w:val="ParagraphChar"/>
        </w:rPr>
        <w:t>NO</w:t>
      </w:r>
      <w:r w:rsidR="001E255C" w:rsidRPr="001E255C">
        <w:rPr>
          <w:rStyle w:val="ParagraphChar"/>
          <w:vertAlign w:val="subscript"/>
        </w:rPr>
        <w:t>X</w:t>
      </w:r>
      <w:r w:rsidRPr="008622A9">
        <w:rPr>
          <w:rFonts w:asciiTheme="minorHAnsi" w:hAnsiTheme="minorHAnsi" w:cstheme="minorHAnsi"/>
          <w:szCs w:val="24"/>
        </w:rPr>
        <w:t xml:space="preserve"> emissions reduction estimate results in a cumulative reduction of over 3,800 tpy.</w:t>
      </w:r>
    </w:p>
    <w:p w14:paraId="13CADB7E" w14:textId="50CC7E4B" w:rsidR="00893351" w:rsidRPr="008622A9" w:rsidRDefault="00893351" w:rsidP="0026204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 xml:space="preserve">These reductions will reduce </w:t>
      </w:r>
      <w:r w:rsidR="001E255C" w:rsidRPr="001E255C">
        <w:rPr>
          <w:rStyle w:val="ParagraphChar"/>
        </w:rPr>
        <w:t>NO</w:t>
      </w:r>
      <w:r w:rsidR="001E255C" w:rsidRPr="001E255C">
        <w:rPr>
          <w:rStyle w:val="ParagraphChar"/>
          <w:vertAlign w:val="subscript"/>
        </w:rPr>
        <w:t>X</w:t>
      </w:r>
      <w:r w:rsidRPr="008622A9">
        <w:rPr>
          <w:rFonts w:asciiTheme="minorHAnsi" w:hAnsiTheme="minorHAnsi" w:cstheme="minorHAnsi"/>
          <w:szCs w:val="24"/>
        </w:rPr>
        <w:t xml:space="preserve"> health impacts by half near the facilities and improve perceived visibility.</w:t>
      </w:r>
    </w:p>
    <w:p w14:paraId="68532213" w14:textId="77777777" w:rsidR="00893351" w:rsidRPr="008622A9" w:rsidRDefault="00893351" w:rsidP="00262049">
      <w:pPr>
        <w:pStyle w:val="ListParagraph"/>
        <w:numPr>
          <w:ilvl w:val="0"/>
          <w:numId w:val="13"/>
        </w:numPr>
        <w:ind w:left="360"/>
        <w:rPr>
          <w:rFonts w:asciiTheme="minorHAnsi" w:hAnsiTheme="minorHAnsi" w:cstheme="minorHAnsi"/>
          <w:szCs w:val="24"/>
        </w:rPr>
      </w:pPr>
      <w:r w:rsidRPr="008622A9">
        <w:rPr>
          <w:rFonts w:asciiTheme="minorHAnsi" w:hAnsiTheme="minorHAnsi" w:cstheme="minorHAnsi"/>
          <w:szCs w:val="24"/>
        </w:rPr>
        <w:t>Capital and operating cost of controls</w:t>
      </w:r>
    </w:p>
    <w:p w14:paraId="6EA5444B" w14:textId="09F4FA5E" w:rsidR="00893351" w:rsidRPr="008622A9" w:rsidRDefault="00893351" w:rsidP="008622A9">
      <w:pPr>
        <w:pStyle w:val="ListParagraph"/>
        <w:numPr>
          <w:ilvl w:val="1"/>
          <w:numId w:val="13"/>
        </w:numPr>
        <w:ind w:left="1080"/>
        <w:rPr>
          <w:rFonts w:asciiTheme="minorHAnsi" w:hAnsiTheme="minorHAnsi" w:cstheme="minorHAnsi"/>
          <w:szCs w:val="24"/>
        </w:rPr>
      </w:pPr>
      <w:r w:rsidRPr="008622A9">
        <w:rPr>
          <w:rFonts w:asciiTheme="minorHAnsi" w:hAnsiTheme="minorHAnsi" w:cstheme="minorHAnsi"/>
          <w:szCs w:val="24"/>
        </w:rPr>
        <w:t>Ecology has estimated the cost o</w:t>
      </w:r>
      <w:r w:rsidR="003C7595" w:rsidRPr="008622A9">
        <w:rPr>
          <w:rFonts w:asciiTheme="minorHAnsi" w:hAnsiTheme="minorHAnsi" w:cstheme="minorHAnsi"/>
          <w:szCs w:val="24"/>
        </w:rPr>
        <w:t>f</w:t>
      </w:r>
      <w:r w:rsidRPr="008622A9">
        <w:rPr>
          <w:rFonts w:asciiTheme="minorHAnsi" w:hAnsiTheme="minorHAnsi" w:cstheme="minorHAnsi"/>
          <w:szCs w:val="24"/>
        </w:rPr>
        <w:t xml:space="preserve"> 15 units to range between $1,300/ton and $7,600/ton of </w:t>
      </w:r>
      <w:r w:rsidR="001E255C" w:rsidRPr="001E255C">
        <w:rPr>
          <w:rStyle w:val="ParagraphChar"/>
        </w:rPr>
        <w:t>NO</w:t>
      </w:r>
      <w:r w:rsidR="001E255C" w:rsidRPr="001E255C">
        <w:rPr>
          <w:rStyle w:val="ParagraphChar"/>
          <w:vertAlign w:val="subscript"/>
        </w:rPr>
        <w:t>X</w:t>
      </w:r>
      <w:r w:rsidRPr="008622A9">
        <w:rPr>
          <w:rFonts w:asciiTheme="minorHAnsi" w:hAnsiTheme="minorHAnsi" w:cstheme="minorHAnsi"/>
          <w:szCs w:val="24"/>
        </w:rPr>
        <w:t xml:space="preserve"> removed.</w:t>
      </w:r>
      <w:r w:rsidR="0067717B" w:rsidRPr="008622A9">
        <w:rPr>
          <w:rFonts w:asciiTheme="minorHAnsi" w:hAnsiTheme="minorHAnsi" w:cstheme="minorHAnsi"/>
          <w:szCs w:val="24"/>
        </w:rPr>
        <w:t xml:space="preserve"> </w:t>
      </w:r>
      <w:r w:rsidRPr="008622A9">
        <w:rPr>
          <w:rFonts w:asciiTheme="minorHAnsi" w:hAnsiTheme="minorHAnsi" w:cstheme="minorHAnsi"/>
          <w:szCs w:val="24"/>
        </w:rPr>
        <w:t xml:space="preserve">Three units currently have SCRs installed, but have older lower emission limits in their permits. Ecology will determine if </w:t>
      </w:r>
      <w:r w:rsidR="00B920F9">
        <w:rPr>
          <w:rFonts w:asciiTheme="minorHAnsi" w:hAnsiTheme="minorHAnsi" w:cstheme="minorHAnsi"/>
          <w:szCs w:val="24"/>
        </w:rPr>
        <w:t>these units should reduce</w:t>
      </w:r>
      <w:r w:rsidR="00E02730">
        <w:rPr>
          <w:rFonts w:asciiTheme="minorHAnsi" w:hAnsiTheme="minorHAnsi" w:cstheme="minorHAnsi"/>
          <w:szCs w:val="24"/>
        </w:rPr>
        <w:t xml:space="preserve"> </w:t>
      </w:r>
      <w:r w:rsidR="001E255C" w:rsidRPr="001E255C">
        <w:rPr>
          <w:rStyle w:val="ParagraphChar"/>
        </w:rPr>
        <w:t>NO</w:t>
      </w:r>
      <w:r w:rsidR="001E255C" w:rsidRPr="001E255C">
        <w:rPr>
          <w:rStyle w:val="ParagraphChar"/>
          <w:vertAlign w:val="subscript"/>
        </w:rPr>
        <w:t>X</w:t>
      </w:r>
      <w:r w:rsidRPr="008622A9">
        <w:rPr>
          <w:rFonts w:asciiTheme="minorHAnsi" w:hAnsiTheme="minorHAnsi" w:cstheme="minorHAnsi"/>
          <w:szCs w:val="24"/>
        </w:rPr>
        <w:t xml:space="preserve"> emission limits</w:t>
      </w:r>
      <w:r w:rsidR="00E02730">
        <w:rPr>
          <w:rFonts w:asciiTheme="minorHAnsi" w:hAnsiTheme="minorHAnsi" w:cstheme="minorHAnsi"/>
          <w:szCs w:val="24"/>
        </w:rPr>
        <w:t xml:space="preserve"> </w:t>
      </w:r>
      <w:r w:rsidRPr="008622A9">
        <w:rPr>
          <w:rFonts w:asciiTheme="minorHAnsi" w:hAnsiTheme="minorHAnsi" w:cstheme="minorHAnsi"/>
          <w:szCs w:val="24"/>
        </w:rPr>
        <w:t>as part of the RACT process.</w:t>
      </w:r>
      <w:r w:rsidR="0067717B" w:rsidRPr="008622A9">
        <w:rPr>
          <w:rFonts w:asciiTheme="minorHAnsi" w:hAnsiTheme="minorHAnsi" w:cstheme="minorHAnsi"/>
          <w:szCs w:val="24"/>
        </w:rPr>
        <w:t xml:space="preserve"> </w:t>
      </w:r>
      <w:r w:rsidRPr="008622A9">
        <w:rPr>
          <w:rFonts w:asciiTheme="minorHAnsi" w:hAnsiTheme="minorHAnsi" w:cstheme="minorHAnsi"/>
          <w:szCs w:val="24"/>
        </w:rPr>
        <w:t xml:space="preserve">Newer units with SCR controls installed are at emission limits below 2 ppm </w:t>
      </w:r>
      <w:r w:rsidR="001E255C" w:rsidRPr="001E255C">
        <w:rPr>
          <w:rStyle w:val="ParagraphChar"/>
        </w:rPr>
        <w:t>NO</w:t>
      </w:r>
      <w:r w:rsidR="001E255C" w:rsidRPr="001E255C">
        <w:rPr>
          <w:rStyle w:val="ParagraphChar"/>
          <w:vertAlign w:val="subscript"/>
        </w:rPr>
        <w:t>X</w:t>
      </w:r>
      <w:r w:rsidRPr="008622A9">
        <w:rPr>
          <w:rFonts w:asciiTheme="minorHAnsi" w:hAnsiTheme="minorHAnsi" w:cstheme="minorHAnsi"/>
          <w:szCs w:val="24"/>
        </w:rPr>
        <w:t xml:space="preserve">. The majority of the equipment </w:t>
      </w:r>
      <w:r w:rsidR="00B920F9">
        <w:rPr>
          <w:rFonts w:asciiTheme="minorHAnsi" w:hAnsiTheme="minorHAnsi" w:cstheme="minorHAnsi"/>
          <w:szCs w:val="24"/>
        </w:rPr>
        <w:t>we are considering</w:t>
      </w:r>
      <w:r w:rsidRPr="008622A9">
        <w:rPr>
          <w:rFonts w:asciiTheme="minorHAnsi" w:hAnsiTheme="minorHAnsi" w:cstheme="minorHAnsi"/>
          <w:szCs w:val="24"/>
        </w:rPr>
        <w:t xml:space="preserve"> for this RACT rulemaking have emissions over 100 tpy of </w:t>
      </w:r>
      <w:r w:rsidR="001E255C" w:rsidRPr="001E255C">
        <w:rPr>
          <w:rStyle w:val="ParagraphChar"/>
        </w:rPr>
        <w:t>NO</w:t>
      </w:r>
      <w:r w:rsidR="001E255C" w:rsidRPr="001E255C">
        <w:rPr>
          <w:rStyle w:val="ParagraphChar"/>
          <w:vertAlign w:val="subscript"/>
        </w:rPr>
        <w:t>X</w:t>
      </w:r>
      <w:r w:rsidRPr="008622A9">
        <w:rPr>
          <w:rFonts w:asciiTheme="minorHAnsi" w:hAnsiTheme="minorHAnsi" w:cstheme="minorHAnsi"/>
          <w:szCs w:val="24"/>
        </w:rPr>
        <w:t>.</w:t>
      </w:r>
    </w:p>
    <w:p w14:paraId="5539DAF8" w14:textId="35878305" w:rsidR="00893351" w:rsidRPr="001E255C" w:rsidRDefault="0019053A" w:rsidP="001E255C">
      <w:pPr>
        <w:pStyle w:val="Heading4"/>
      </w:pPr>
      <w:bookmarkStart w:id="165" w:name="_Toc51673402"/>
      <w:bookmarkStart w:id="166" w:name="_Toc51674433"/>
      <w:r>
        <w:t>Low-NOx</w:t>
      </w:r>
      <w:r w:rsidR="00893351" w:rsidRPr="001E255C">
        <w:t xml:space="preserve"> Burners</w:t>
      </w:r>
      <w:bookmarkEnd w:id="165"/>
      <w:bookmarkEnd w:id="166"/>
    </w:p>
    <w:p w14:paraId="27924153" w14:textId="6FC6067F" w:rsidR="00893351" w:rsidRDefault="00893351" w:rsidP="008622A9">
      <w:pPr>
        <w:pStyle w:val="Paragraph"/>
      </w:pPr>
      <w:r>
        <w:t xml:space="preserve">Ecology also requested information on installation of </w:t>
      </w:r>
      <w:r w:rsidR="0019053A">
        <w:t>low-NOx</w:t>
      </w:r>
      <w:r>
        <w:t xml:space="preserve"> burners on heaters/boilers.</w:t>
      </w:r>
      <w:r w:rsidR="0067717B">
        <w:t xml:space="preserve"> </w:t>
      </w:r>
      <w:r>
        <w:t>Two of the refineries indicated that it was not cost-effective to install controls.</w:t>
      </w:r>
      <w:r w:rsidR="0067717B">
        <w:t xml:space="preserve"> </w:t>
      </w:r>
      <w:r>
        <w:t xml:space="preserve">Three refineries indicated that it was potentially cost-effective to install controls, but </w:t>
      </w:r>
      <w:r w:rsidR="0054097F">
        <w:t xml:space="preserve">they would need </w:t>
      </w:r>
      <w:r>
        <w:t>additional computer design</w:t>
      </w:r>
      <w:r w:rsidR="00E02730">
        <w:t xml:space="preserve"> </w:t>
      </w:r>
      <w:r>
        <w:t xml:space="preserve">to confirm that it was technically feasible. Ecology agrees with the refineries that installation of </w:t>
      </w:r>
      <w:r w:rsidR="0019053A">
        <w:t>low-NOx</w:t>
      </w:r>
      <w:r>
        <w:t xml:space="preserve"> burners requires more extensive analysis to determine </w:t>
      </w:r>
      <w:r>
        <w:lastRenderedPageBreak/>
        <w:t xml:space="preserve">feasibility. Ecology will focus on the installation of SCR system for </w:t>
      </w:r>
      <w:r w:rsidR="001E255C" w:rsidRPr="001E255C">
        <w:rPr>
          <w:rStyle w:val="ParagraphChar"/>
        </w:rPr>
        <w:t>NO</w:t>
      </w:r>
      <w:r w:rsidR="001E255C" w:rsidRPr="001E255C">
        <w:rPr>
          <w:rStyle w:val="ParagraphChar"/>
          <w:vertAlign w:val="subscript"/>
        </w:rPr>
        <w:t>X</w:t>
      </w:r>
      <w:r>
        <w:t xml:space="preserve"> emission reductions </w:t>
      </w:r>
      <w:r w:rsidR="00580794">
        <w:t>because</w:t>
      </w:r>
      <w:r>
        <w:t xml:space="preserve"> of the difficulty and uncertainty for specific </w:t>
      </w:r>
      <w:r w:rsidR="0019053A">
        <w:t>low-NOx</w:t>
      </w:r>
      <w:r>
        <w:t xml:space="preserve"> burner installation.</w:t>
      </w:r>
    </w:p>
    <w:p w14:paraId="30E0CFD7" w14:textId="77777777" w:rsidR="00893351" w:rsidRDefault="00893351" w:rsidP="0040491F">
      <w:pPr>
        <w:pStyle w:val="Heading4"/>
      </w:pPr>
      <w:bookmarkStart w:id="167" w:name="_Toc49523846"/>
      <w:bookmarkStart w:id="168" w:name="_Toc49863874"/>
      <w:bookmarkStart w:id="169" w:name="_Toc51673403"/>
      <w:bookmarkStart w:id="170" w:name="_Toc51674434"/>
      <w:r>
        <w:t>Facility specifics</w:t>
      </w:r>
      <w:bookmarkEnd w:id="167"/>
      <w:bookmarkEnd w:id="168"/>
      <w:bookmarkEnd w:id="169"/>
      <w:bookmarkEnd w:id="170"/>
    </w:p>
    <w:p w14:paraId="3B9237E8" w14:textId="77777777" w:rsidR="00893351" w:rsidRDefault="00893351" w:rsidP="0040491F">
      <w:pPr>
        <w:pStyle w:val="Heading5"/>
      </w:pPr>
      <w:bookmarkStart w:id="171" w:name="_Toc49523847"/>
      <w:bookmarkStart w:id="172" w:name="_Toc49863875"/>
      <w:bookmarkStart w:id="173" w:name="_Toc51673404"/>
      <w:bookmarkStart w:id="174" w:name="_Toc51674435"/>
      <w:r>
        <w:t>BP/Cherry Point Refinery</w:t>
      </w:r>
      <w:bookmarkEnd w:id="171"/>
      <w:bookmarkEnd w:id="172"/>
      <w:bookmarkEnd w:id="173"/>
      <w:bookmarkEnd w:id="174"/>
    </w:p>
    <w:p w14:paraId="7377A016" w14:textId="45A83A6C" w:rsidR="00893351" w:rsidRDefault="00893351" w:rsidP="008622A9">
      <w:pPr>
        <w:pStyle w:val="Paragraph"/>
      </w:pPr>
      <w:r>
        <w:t>The BP/Cherry Point Refinery has a total crude oil capacity of 250,000 barrels per calendar day (bpcd).</w:t>
      </w:r>
      <w:r w:rsidR="0067717B">
        <w:t xml:space="preserve"> </w:t>
      </w:r>
      <w:r w:rsidRPr="009B3712">
        <w:t xml:space="preserve">The refinery processes Canadian crude, domestic crude from North Dakota and Alaska North Slope and international crudes to manufacture gasoline, distillates, heavy fuel oil and propane. The refinery distributes products through </w:t>
      </w:r>
      <w:r w:rsidRPr="009B3712" w:rsidDel="00580794">
        <w:t>pipeline</w:t>
      </w:r>
      <w:r w:rsidR="00580794" w:rsidRPr="009B3712">
        <w:t>-connected</w:t>
      </w:r>
      <w:r w:rsidRPr="009B3712">
        <w:t xml:space="preserve"> terminals</w:t>
      </w:r>
      <w:r>
        <w:t>,</w:t>
      </w:r>
      <w:r w:rsidRPr="009B3712">
        <w:t xml:space="preserve"> marine terminal via ships and barges.</w:t>
      </w:r>
      <w:r w:rsidRPr="00E92870">
        <w:t xml:space="preserve"> </w:t>
      </w:r>
      <w:r>
        <w:t>The r</w:t>
      </w:r>
      <w:r w:rsidRPr="00E92870">
        <w:t xml:space="preserve">efinery is the only refinery in the Pacific Northwest capable of manufacturing diesel made from biomass-based </w:t>
      </w:r>
      <w:r w:rsidRPr="00E92870" w:rsidDel="00580794">
        <w:t>feed</w:t>
      </w:r>
      <w:r w:rsidDel="00580794">
        <w:t xml:space="preserve"> </w:t>
      </w:r>
      <w:r w:rsidRPr="00E92870" w:rsidDel="00580794">
        <w:t>stocks</w:t>
      </w:r>
      <w:r w:rsidR="00580794">
        <w:t>.</w:t>
      </w:r>
      <w:r w:rsidRPr="00E92870">
        <w:t xml:space="preserve"> </w:t>
      </w:r>
      <w:r w:rsidR="00580794">
        <w:t>The refinery processes bio-mass feed stocks</w:t>
      </w:r>
      <w:r w:rsidR="00E02730">
        <w:t xml:space="preserve"> </w:t>
      </w:r>
      <w:r w:rsidRPr="00E92870">
        <w:t xml:space="preserve">alongside conventional </w:t>
      </w:r>
      <w:r w:rsidRPr="00E92870" w:rsidDel="00580794">
        <w:t>feed</w:t>
      </w:r>
      <w:r w:rsidDel="00580794">
        <w:t xml:space="preserve"> </w:t>
      </w:r>
      <w:r w:rsidRPr="00E92870" w:rsidDel="00580794">
        <w:t>stocks</w:t>
      </w:r>
      <w:r w:rsidRPr="00E92870">
        <w:t xml:space="preserve"> in an existing ultra-low-sulfur diesel unit.</w:t>
      </w:r>
      <w:r w:rsidR="0067717B">
        <w:t xml:space="preserve"> </w:t>
      </w:r>
      <w:r>
        <w:t>Over the past decade, BP invested more than $1.5 billion in capital improvements at the refinery.</w:t>
      </w:r>
      <w:r w:rsidR="007421AC">
        <w:rPr>
          <w:rStyle w:val="FootnoteReference"/>
        </w:rPr>
        <w:footnoteReference w:id="25"/>
      </w:r>
    </w:p>
    <w:p w14:paraId="36EC75F3" w14:textId="77777777" w:rsidR="00893351" w:rsidRPr="0040491F" w:rsidRDefault="00893351" w:rsidP="0040491F">
      <w:pPr>
        <w:pStyle w:val="Paragraph"/>
        <w:rPr>
          <w:b/>
        </w:rPr>
      </w:pPr>
      <w:r w:rsidRPr="0040491F">
        <w:rPr>
          <w:b/>
        </w:rPr>
        <w:t>PSD permit</w:t>
      </w:r>
    </w:p>
    <w:p w14:paraId="4876E8D0" w14:textId="75D8CCDA" w:rsidR="00893351" w:rsidRDefault="00893351" w:rsidP="000B6340">
      <w:pPr>
        <w:pStyle w:val="Paragraph"/>
      </w:pPr>
      <w:r>
        <w:t>Ecology issue</w:t>
      </w:r>
      <w:r w:rsidR="00D36888">
        <w:t>d</w:t>
      </w:r>
      <w:r>
        <w:t xml:space="preserve"> a PSD permit to BP Cherry Point</w:t>
      </w:r>
      <w:r w:rsidR="007809D3">
        <w:t xml:space="preserve"> (BP)</w:t>
      </w:r>
      <w:r w:rsidR="00D36888">
        <w:t xml:space="preserve"> on May 23, 2017</w:t>
      </w:r>
      <w:r>
        <w:t>.</w:t>
      </w:r>
      <w:r w:rsidR="0067717B">
        <w:t xml:space="preserve"> </w:t>
      </w:r>
      <w:r>
        <w:t xml:space="preserve">During the </w:t>
      </w:r>
      <w:r w:rsidR="00D36888">
        <w:t xml:space="preserve">PSD permit’s </w:t>
      </w:r>
      <w:r>
        <w:t xml:space="preserve">public comment period, the </w:t>
      </w:r>
      <w:r w:rsidR="00D36888">
        <w:t>National Park Service</w:t>
      </w:r>
      <w:r>
        <w:t xml:space="preserve"> submitted comments regarding impacts to the Olympic </w:t>
      </w:r>
      <w:r w:rsidR="00CB5660">
        <w:t>National Park (NP)</w:t>
      </w:r>
      <w:r>
        <w:t>.</w:t>
      </w:r>
      <w:r w:rsidR="0067717B">
        <w:t xml:space="preserve"> </w:t>
      </w:r>
    </w:p>
    <w:p w14:paraId="14CE4D8E" w14:textId="7B41B514" w:rsidR="00893351" w:rsidRDefault="00893351" w:rsidP="000B6340">
      <w:pPr>
        <w:pStyle w:val="Paragraph"/>
      </w:pPr>
      <w:r>
        <w:t xml:space="preserve">Below is a summary of the FLMs’ comments that directly pertain with </w:t>
      </w:r>
      <w:r w:rsidR="00C67AFF">
        <w:t>RH</w:t>
      </w:r>
      <w:r>
        <w:t xml:space="preserve"> and visibility</w:t>
      </w:r>
      <w:r w:rsidR="001F03B3">
        <w:t>:</w:t>
      </w:r>
    </w:p>
    <w:p w14:paraId="1A5A3187" w14:textId="15EF1212" w:rsidR="00893351" w:rsidRDefault="00893351" w:rsidP="00893351">
      <w:pPr>
        <w:pStyle w:val="BulletedList"/>
      </w:pPr>
      <w:r>
        <w:t>According to</w:t>
      </w:r>
      <w:r w:rsidDel="00574564">
        <w:t xml:space="preserve"> </w:t>
      </w:r>
      <w:r>
        <w:t>modeling performed by the NPS, the NPS believes that “emissions from the refinery are currently causing visibility impairment at Olympic NP and North Cascades NP and significantly contributing to excess nitrogen deposition at both parks.” In addition, the NPS also believes that the Coker Replacement project itself “will significantly increase the impacts of visibility-impairing pollutants at Olympic NP and significantly increase nitrogen deposition at North Cascades NP.”</w:t>
      </w:r>
    </w:p>
    <w:p w14:paraId="112AD705" w14:textId="2027432B" w:rsidR="00893351" w:rsidRDefault="00893351" w:rsidP="00893351">
      <w:pPr>
        <w:pStyle w:val="BulletedList"/>
      </w:pPr>
      <w:r>
        <w:t xml:space="preserve">On October 14, 2016, the NPS provided helpful clarifications of their concerns in a document submitted to Ecology. The letter from NPS documented no dispute </w:t>
      </w:r>
      <w:r w:rsidDel="007D7FAD">
        <w:t>that</w:t>
      </w:r>
      <w:r w:rsidR="007D7FAD">
        <w:t xml:space="preserve"> the facility followed</w:t>
      </w:r>
      <w:r>
        <w:t xml:space="preserve"> PSD regulations</w:t>
      </w:r>
      <w:r w:rsidR="007D7FAD">
        <w:t>,</w:t>
      </w:r>
      <w:r w:rsidDel="007D7FAD">
        <w:t xml:space="preserve"> </w:t>
      </w:r>
      <w:r>
        <w:t xml:space="preserve">or that the BP application was complete, but rather emphasized the different approaches used to address PSD regulatory applicability from approaches used to address project impacts on </w:t>
      </w:r>
      <w:r w:rsidR="00574564">
        <w:t>the CIAs</w:t>
      </w:r>
      <w:r>
        <w:t xml:space="preserve"> </w:t>
      </w:r>
      <w:r w:rsidR="00574564">
        <w:t>Air Quality Related Value</w:t>
      </w:r>
      <w:r>
        <w:t>s</w:t>
      </w:r>
      <w:r w:rsidR="00574564">
        <w:t xml:space="preserve"> (AQRV)</w:t>
      </w:r>
      <w:r>
        <w:t>.</w:t>
      </w:r>
    </w:p>
    <w:p w14:paraId="61F7DC99" w14:textId="66FA11FE" w:rsidR="00BA40E4" w:rsidRPr="007809D3" w:rsidRDefault="007809D3" w:rsidP="00BA40E4">
      <w:pPr>
        <w:pStyle w:val="BulletedList"/>
      </w:pPr>
      <w:r w:rsidRPr="007809D3">
        <w:t>On</w:t>
      </w:r>
      <w:r w:rsidR="00BA40E4" w:rsidRPr="007809D3">
        <w:t xml:space="preserve"> December</w:t>
      </w:r>
      <w:r w:rsidRPr="007809D3">
        <w:t xml:space="preserve"> 25,</w:t>
      </w:r>
      <w:r w:rsidR="00BA40E4" w:rsidRPr="007809D3">
        <w:t xml:space="preserve"> 2016</w:t>
      </w:r>
      <w:r w:rsidRPr="007809D3">
        <w:t xml:space="preserve"> the NPS sent a letter to Ecology stating that emissions fro</w:t>
      </w:r>
      <w:r>
        <w:t>m</w:t>
      </w:r>
      <w:r w:rsidRPr="007809D3">
        <w:t xml:space="preserve"> the Cherry Point refinery w</w:t>
      </w:r>
      <w:r>
        <w:t>ere</w:t>
      </w:r>
      <w:r w:rsidRPr="007809D3">
        <w:t xml:space="preserve"> adversely impacting air quality related values </w:t>
      </w:r>
      <w:r w:rsidR="0096362D">
        <w:t>at North Cascades and Olympic National Park</w:t>
      </w:r>
      <w:r w:rsidRPr="007809D3">
        <w:t>s.</w:t>
      </w:r>
    </w:p>
    <w:p w14:paraId="33879F87" w14:textId="4578C61B" w:rsidR="00893351" w:rsidRDefault="00893351" w:rsidP="007809D3">
      <w:pPr>
        <w:pStyle w:val="BulletedList"/>
        <w:numPr>
          <w:ilvl w:val="0"/>
          <w:numId w:val="0"/>
        </w:numPr>
      </w:pPr>
    </w:p>
    <w:p w14:paraId="74FFC72C" w14:textId="77777777" w:rsidR="00893351" w:rsidRDefault="00893351" w:rsidP="0040491F">
      <w:pPr>
        <w:pStyle w:val="Heading6"/>
      </w:pPr>
      <w:bookmarkStart w:id="175" w:name="_Toc49523849"/>
      <w:bookmarkStart w:id="176" w:name="_Toc49863877"/>
      <w:bookmarkStart w:id="177" w:name="_Toc51673405"/>
      <w:r>
        <w:lastRenderedPageBreak/>
        <w:t>Regional Haze, Four Factor Analysis 2020</w:t>
      </w:r>
      <w:bookmarkEnd w:id="175"/>
      <w:bookmarkEnd w:id="176"/>
      <w:bookmarkEnd w:id="177"/>
    </w:p>
    <w:p w14:paraId="2942C1C3" w14:textId="0C42EBF4" w:rsidR="00EF2D2E" w:rsidRDefault="00893351" w:rsidP="000B6340">
      <w:pPr>
        <w:pStyle w:val="Paragraph"/>
      </w:pPr>
      <w:r>
        <w:t>BP submitted a FFA to Ecology in April 2020.</w:t>
      </w:r>
      <w:r w:rsidR="0067717B">
        <w:t xml:space="preserve"> </w:t>
      </w:r>
      <w:r>
        <w:t>Ramboll US Corporation</w:t>
      </w:r>
      <w:r w:rsidR="00B91B6C">
        <w:t xml:space="preserve"> (Ramboll)</w:t>
      </w:r>
      <w:r w:rsidR="00EF2D2E">
        <w:t xml:space="preserve"> prepared the submittal</w:t>
      </w:r>
      <w:r>
        <w:t>.</w:t>
      </w:r>
      <w:r w:rsidR="0067717B">
        <w:t xml:space="preserve"> </w:t>
      </w:r>
      <w:r>
        <w:t>Ecology</w:t>
      </w:r>
      <w:r w:rsidR="00D21B68">
        <w:t xml:space="preserve"> </w:t>
      </w:r>
      <w:r>
        <w:t>performed an analysis and concluded that the technical data used in the review was based on the 2010 BART analysis.</w:t>
      </w:r>
      <w:r w:rsidR="0067717B">
        <w:t xml:space="preserve"> </w:t>
      </w:r>
      <w:r>
        <w:t>The cost of installing SCR’s has</w:t>
      </w:r>
      <w:r w:rsidR="00D21B68">
        <w:t xml:space="preserve"> </w:t>
      </w:r>
      <w:r w:rsidR="00574564">
        <w:t>decreased</w:t>
      </w:r>
      <w:r>
        <w:t xml:space="preserve"> substantially over the last decade.</w:t>
      </w:r>
      <w:r w:rsidR="0067717B">
        <w:t xml:space="preserve"> </w:t>
      </w:r>
      <w:r>
        <w:t xml:space="preserve">BP included loss of profit during the maintenance </w:t>
      </w:r>
      <w:r w:rsidDel="00EF2D2E">
        <w:t>period</w:t>
      </w:r>
      <w:r w:rsidR="00EF2D2E">
        <w:t>, which</w:t>
      </w:r>
      <w:r>
        <w:t xml:space="preserve"> inflated the cost substantially.</w:t>
      </w:r>
      <w:r w:rsidR="0067717B">
        <w:t xml:space="preserve"> </w:t>
      </w:r>
      <w:r>
        <w:t xml:space="preserve">They also included the cost of </w:t>
      </w:r>
      <w:r w:rsidR="00341ACC">
        <w:t xml:space="preserve">safety control systems </w:t>
      </w:r>
      <w:r>
        <w:t>be installed by 2020</w:t>
      </w:r>
      <w:r w:rsidR="00341ACC">
        <w:t xml:space="preserve"> per safety regulations</w:t>
      </w:r>
      <w:r w:rsidR="005478DE">
        <w:rPr>
          <w:rStyle w:val="FootnoteReference"/>
        </w:rPr>
        <w:footnoteReference w:id="26"/>
      </w:r>
      <w:r>
        <w:t>.</w:t>
      </w:r>
    </w:p>
    <w:p w14:paraId="1388C79E" w14:textId="45FAAE25" w:rsidR="00893351" w:rsidRDefault="00341ACC" w:rsidP="000B6340">
      <w:pPr>
        <w:pStyle w:val="Paragraph"/>
      </w:pPr>
      <w:r>
        <w:t xml:space="preserve">Ecology </w:t>
      </w:r>
      <w:r w:rsidR="00EF2D2E">
        <w:t>evaluated t</w:t>
      </w:r>
      <w:r w:rsidR="00893351">
        <w:t>wo new Coker heaters</w:t>
      </w:r>
      <w:r w:rsidR="00E02730">
        <w:t xml:space="preserve"> </w:t>
      </w:r>
      <w:r w:rsidR="00893351">
        <w:t xml:space="preserve">for SCR at a cost of about $12,000/ton of </w:t>
      </w:r>
      <w:r w:rsidR="001E255C" w:rsidRPr="001E255C">
        <w:rPr>
          <w:rStyle w:val="ParagraphChar"/>
        </w:rPr>
        <w:t>NO</w:t>
      </w:r>
      <w:r w:rsidR="001E255C" w:rsidRPr="001E255C">
        <w:rPr>
          <w:rStyle w:val="ParagraphChar"/>
          <w:vertAlign w:val="subscript"/>
        </w:rPr>
        <w:t>X</w:t>
      </w:r>
      <w:r w:rsidR="00893351">
        <w:t xml:space="preserve"> reduced after the installation of </w:t>
      </w:r>
      <w:r w:rsidR="0019053A">
        <w:t>low-NOx</w:t>
      </w:r>
      <w:r w:rsidR="00893351">
        <w:t xml:space="preserve"> burners.</w:t>
      </w:r>
      <w:r w:rsidR="0067717B">
        <w:t xml:space="preserve"> </w:t>
      </w:r>
      <w:r w:rsidR="00893351">
        <w:t xml:space="preserve">The current equipment </w:t>
      </w:r>
      <w:r w:rsidR="00EF2D2E">
        <w:t>Ecology is evaluating</w:t>
      </w:r>
      <w:r w:rsidR="00893351">
        <w:t xml:space="preserve"> has </w:t>
      </w:r>
      <w:r w:rsidR="001E255C" w:rsidRPr="001E255C">
        <w:rPr>
          <w:rStyle w:val="ParagraphChar"/>
        </w:rPr>
        <w:t>NO</w:t>
      </w:r>
      <w:r w:rsidR="001E255C" w:rsidRPr="001E255C">
        <w:rPr>
          <w:rStyle w:val="ParagraphChar"/>
          <w:vertAlign w:val="subscript"/>
        </w:rPr>
        <w:t>X</w:t>
      </w:r>
      <w:r w:rsidR="00893351">
        <w:t xml:space="preserve"> emissions four to six time</w:t>
      </w:r>
      <w:r w:rsidR="00D21B68">
        <w:t>s</w:t>
      </w:r>
      <w:r w:rsidR="00893351">
        <w:t xml:space="preserve"> the current </w:t>
      </w:r>
      <w:r w:rsidR="0019053A">
        <w:t>low-NOx</w:t>
      </w:r>
      <w:r w:rsidR="00893351">
        <w:t xml:space="preserve"> burners, therefore the cost would be $2,000/ton to $3,000/ton of </w:t>
      </w:r>
      <w:r w:rsidR="001E255C" w:rsidRPr="001E255C">
        <w:rPr>
          <w:rStyle w:val="ParagraphChar"/>
        </w:rPr>
        <w:t>NO</w:t>
      </w:r>
      <w:r w:rsidR="001E255C" w:rsidRPr="001E255C">
        <w:rPr>
          <w:rStyle w:val="ParagraphChar"/>
          <w:vertAlign w:val="subscript"/>
        </w:rPr>
        <w:t>X</w:t>
      </w:r>
      <w:r w:rsidR="00893351">
        <w:t xml:space="preserve"> </w:t>
      </w:r>
      <w:r w:rsidR="00B46CDB">
        <w:t xml:space="preserve">emission </w:t>
      </w:r>
      <w:r w:rsidR="00893351">
        <w:t>reduc</w:t>
      </w:r>
      <w:r w:rsidR="00B46CDB">
        <w:t>tion</w:t>
      </w:r>
      <w:r w:rsidR="00893351">
        <w:t>.</w:t>
      </w:r>
    </w:p>
    <w:p w14:paraId="27A405AB" w14:textId="21D06D0D" w:rsidR="00893351" w:rsidRDefault="00893351" w:rsidP="000B6340">
      <w:pPr>
        <w:pStyle w:val="Paragraph"/>
      </w:pPr>
      <w:r>
        <w:t xml:space="preserve">BPs cost was approximately 10 times that of the </w:t>
      </w:r>
      <w:r w:rsidR="00B91B6C">
        <w:t>Control</w:t>
      </w:r>
      <w:r>
        <w:t xml:space="preserve"> </w:t>
      </w:r>
      <w:r w:rsidR="00B91B6C">
        <w:t>C</w:t>
      </w:r>
      <w:r>
        <w:t xml:space="preserve">ost </w:t>
      </w:r>
      <w:r w:rsidR="00B91B6C">
        <w:t>M</w:t>
      </w:r>
      <w:r>
        <w:t>anual</w:t>
      </w:r>
      <w:r w:rsidR="000C3AF1">
        <w:t>.</w:t>
      </w:r>
      <w:r>
        <w:t xml:space="preserve"> </w:t>
      </w:r>
      <w:r w:rsidR="000C3AF1">
        <w:t>T</w:t>
      </w:r>
      <w:r>
        <w:t>herefore</w:t>
      </w:r>
      <w:r w:rsidR="000C3AF1">
        <w:t>,</w:t>
      </w:r>
      <w:r>
        <w:t xml:space="preserve"> </w:t>
      </w:r>
      <w:r w:rsidR="00B91B6C">
        <w:t>E</w:t>
      </w:r>
      <w:r>
        <w:t>cology could no</w:t>
      </w:r>
      <w:r w:rsidR="00B46CDB">
        <w:t xml:space="preserve">t reconcile </w:t>
      </w:r>
      <w:r>
        <w:t>BP’s cost data.</w:t>
      </w:r>
      <w:r w:rsidR="0067717B">
        <w:t xml:space="preserve"> </w:t>
      </w:r>
      <w:r w:rsidR="00B91B6C">
        <w:t>In 2020, E</w:t>
      </w:r>
      <w:r>
        <w:t xml:space="preserve">cology worked with two companies that are in the process of installing SCR equipment on existing equipment. One was a relatively simple installation and a second one was much more complex with the addition of a temporary stack to facilitate maintaining continuous operation of the equipment. </w:t>
      </w:r>
      <w:r w:rsidR="00F64E64">
        <w:t>When compared to the Cost Control Manual, b</w:t>
      </w:r>
      <w:r>
        <w:t>oth facilities</w:t>
      </w:r>
      <w:r w:rsidR="00B91B6C">
        <w:t>’</w:t>
      </w:r>
      <w:r>
        <w:t xml:space="preserve"> cost</w:t>
      </w:r>
      <w:r w:rsidR="00B91B6C">
        <w:t>s</w:t>
      </w:r>
      <w:r>
        <w:t xml:space="preserve"> were within a factor of two</w:t>
      </w:r>
      <w:r w:rsidR="00F64E64">
        <w:t>.</w:t>
      </w:r>
      <w:r>
        <w:t>.</w:t>
      </w:r>
      <w:r w:rsidR="0067717B">
        <w:t xml:space="preserve"> </w:t>
      </w:r>
      <w:r w:rsidR="00B91B6C">
        <w:t>Therefore</w:t>
      </w:r>
      <w:r w:rsidR="00F64E64">
        <w:t>,</w:t>
      </w:r>
      <w:r w:rsidR="00B91B6C">
        <w:t xml:space="preserve"> E</w:t>
      </w:r>
      <w:r>
        <w:t>cology will</w:t>
      </w:r>
      <w:r w:rsidR="00F64E64">
        <w:t xml:space="preserve"> use</w:t>
      </w:r>
      <w:r w:rsidDel="00F64E64">
        <w:t xml:space="preserve"> </w:t>
      </w:r>
      <w:r>
        <w:t xml:space="preserve">EPA’s </w:t>
      </w:r>
      <w:r w:rsidR="00B91B6C">
        <w:t xml:space="preserve">Cost Control Manual </w:t>
      </w:r>
      <w:r>
        <w:t>to e</w:t>
      </w:r>
      <w:r w:rsidR="00D21B68">
        <w:t>stimate costs</w:t>
      </w:r>
      <w:r w:rsidR="000B6340">
        <w:t>.</w:t>
      </w:r>
    </w:p>
    <w:p w14:paraId="5A7A4ACF" w14:textId="0F508ABE" w:rsidR="00893351" w:rsidRDefault="00893351" w:rsidP="000B6340">
      <w:pPr>
        <w:pStyle w:val="Paragraph"/>
      </w:pPr>
      <w:r>
        <w:t xml:space="preserve">The following is Ecology’s review of the </w:t>
      </w:r>
      <w:r w:rsidR="00B91B6C">
        <w:t>FFA</w:t>
      </w:r>
      <w:r>
        <w:t xml:space="preserve"> supplied by BP Cherry Point on selected equipment compared to the </w:t>
      </w:r>
      <w:r w:rsidR="00285D3F" w:rsidRPr="00762C2E">
        <w:t>Cost Reports and Guidance for Air Pollution Regulations</w:t>
      </w:r>
      <w:r w:rsidR="00285D3F">
        <w:t xml:space="preserve">- </w:t>
      </w:r>
      <w:r w:rsidR="00285D3F" w:rsidRPr="00762C2E">
        <w:t>Section 4 - NOx Controls</w:t>
      </w:r>
      <w:r w:rsidR="00285D3F">
        <w:t xml:space="preserve"> </w:t>
      </w:r>
      <w:r w:rsidR="00F64E64">
        <w:t>spreadsheet</w:t>
      </w:r>
      <w:r w:rsidR="00285D3F">
        <w:t xml:space="preserve"> (</w:t>
      </w:r>
      <w:r>
        <w:t xml:space="preserve">EPA </w:t>
      </w:r>
      <w:r w:rsidR="001F03B3">
        <w:t xml:space="preserve">Control </w:t>
      </w:r>
      <w:r w:rsidR="00B91B6C">
        <w:t>Cost Manual</w:t>
      </w:r>
      <w:r w:rsidR="00285D3F">
        <w:t>)</w:t>
      </w:r>
      <w:r w:rsidR="00644124">
        <w:rPr>
          <w:rStyle w:val="FootnoteReference"/>
        </w:rPr>
        <w:footnoteReference w:id="27"/>
      </w:r>
      <w:r>
        <w:t>:</w:t>
      </w:r>
    </w:p>
    <w:p w14:paraId="075A30E6" w14:textId="2DDF9387" w:rsidR="00FC01A2" w:rsidRDefault="00FC01A2" w:rsidP="00FC01A2">
      <w:pPr>
        <w:pStyle w:val="Caption"/>
        <w:keepNext/>
        <w:spacing w:after="0"/>
      </w:pPr>
      <w:bookmarkStart w:id="178" w:name="_Toc51675379"/>
      <w:r>
        <w:t xml:space="preserve">Table </w:t>
      </w:r>
      <w:fldSimple w:instr=" SEQ Table \* ARABIC ">
        <w:r w:rsidR="00396A5E">
          <w:t>8</w:t>
        </w:r>
      </w:fldSimple>
      <w:r>
        <w:t xml:space="preserve">: </w:t>
      </w:r>
      <w:r w:rsidRPr="009A6B98">
        <w:t xml:space="preserve">BP Cherry Point </w:t>
      </w:r>
      <w:r w:rsidR="00823FF3">
        <w:t>e</w:t>
      </w:r>
      <w:r w:rsidRPr="009A6B98">
        <w:t xml:space="preserve">quipment </w:t>
      </w:r>
      <w:r w:rsidR="00823FF3">
        <w:t>i</w:t>
      </w:r>
      <w:r w:rsidRPr="009A6B98">
        <w:t xml:space="preserve">dentified for RACT </w:t>
      </w:r>
      <w:r w:rsidR="00823FF3">
        <w:t>r</w:t>
      </w:r>
      <w:r w:rsidRPr="009A6B98">
        <w:t xml:space="preserve">ule </w:t>
      </w:r>
      <w:r w:rsidR="00823FF3">
        <w:t>d</w:t>
      </w:r>
      <w:r w:rsidRPr="009A6B98">
        <w:t>evelopment</w:t>
      </w:r>
      <w:bookmarkEnd w:id="178"/>
    </w:p>
    <w:tbl>
      <w:tblPr>
        <w:tblStyle w:val="TableGrid"/>
        <w:tblW w:w="5000" w:type="pct"/>
        <w:tblLook w:val="04A0" w:firstRow="1" w:lastRow="0" w:firstColumn="1" w:lastColumn="0" w:noHBand="0" w:noVBand="1"/>
      </w:tblPr>
      <w:tblGrid>
        <w:gridCol w:w="1219"/>
        <w:gridCol w:w="3481"/>
        <w:gridCol w:w="999"/>
        <w:gridCol w:w="1097"/>
        <w:gridCol w:w="1146"/>
        <w:gridCol w:w="1408"/>
      </w:tblGrid>
      <w:tr w:rsidR="00893351" w:rsidRPr="0074365B" w14:paraId="31613CE7" w14:textId="77777777" w:rsidTr="001E7045">
        <w:trPr>
          <w:trHeight w:val="432"/>
          <w:tblHeader/>
        </w:trPr>
        <w:tc>
          <w:tcPr>
            <w:tcW w:w="605" w:type="pct"/>
            <w:vAlign w:val="center"/>
            <w:hideMark/>
          </w:tcPr>
          <w:p w14:paraId="09E76E5B" w14:textId="77777777" w:rsidR="00893351" w:rsidRPr="00FC01A2" w:rsidRDefault="00893351" w:rsidP="001E7045">
            <w:pPr>
              <w:pStyle w:val="TableParagraph"/>
              <w:rPr>
                <w:b/>
              </w:rPr>
            </w:pPr>
            <w:r w:rsidRPr="00FC01A2">
              <w:rPr>
                <w:b/>
              </w:rPr>
              <w:t>Company</w:t>
            </w:r>
          </w:p>
        </w:tc>
        <w:tc>
          <w:tcPr>
            <w:tcW w:w="1907" w:type="pct"/>
            <w:vAlign w:val="center"/>
            <w:hideMark/>
          </w:tcPr>
          <w:p w14:paraId="0E815049" w14:textId="77777777" w:rsidR="00893351" w:rsidRPr="00FC01A2" w:rsidRDefault="00893351" w:rsidP="001E7045">
            <w:pPr>
              <w:pStyle w:val="TableParagraph"/>
              <w:rPr>
                <w:b/>
              </w:rPr>
            </w:pPr>
            <w:r w:rsidRPr="00FC01A2">
              <w:rPr>
                <w:b/>
              </w:rPr>
              <w:t>Equipment</w:t>
            </w:r>
          </w:p>
        </w:tc>
        <w:tc>
          <w:tcPr>
            <w:tcW w:w="555" w:type="pct"/>
            <w:vAlign w:val="center"/>
            <w:hideMark/>
          </w:tcPr>
          <w:p w14:paraId="11F1AEFA" w14:textId="145E04C0" w:rsidR="00893351" w:rsidRPr="00FC01A2" w:rsidRDefault="00893351" w:rsidP="001E7045">
            <w:pPr>
              <w:pStyle w:val="TableParagraph"/>
              <w:rPr>
                <w:b/>
              </w:rPr>
            </w:pPr>
            <w:r w:rsidRPr="00FC01A2">
              <w:rPr>
                <w:b/>
              </w:rPr>
              <w:t>EPA</w:t>
            </w:r>
            <w:r w:rsidRPr="00FC01A2">
              <w:rPr>
                <w:b/>
              </w:rPr>
              <w:br/>
            </w:r>
            <w:r w:rsidR="00690FBC">
              <w:rPr>
                <w:b/>
              </w:rPr>
              <w:t>Control Cost Manual</w:t>
            </w:r>
            <w:r w:rsidRPr="00FC01A2">
              <w:rPr>
                <w:b/>
              </w:rPr>
              <w:br/>
              <w:t>$/Ton</w:t>
            </w:r>
          </w:p>
        </w:tc>
        <w:tc>
          <w:tcPr>
            <w:tcW w:w="555" w:type="pct"/>
            <w:vAlign w:val="center"/>
            <w:hideMark/>
          </w:tcPr>
          <w:p w14:paraId="7FD277F8" w14:textId="77777777" w:rsidR="00893351" w:rsidRPr="00FC01A2" w:rsidRDefault="00893351" w:rsidP="001E7045">
            <w:pPr>
              <w:pStyle w:val="TableParagraph"/>
              <w:rPr>
                <w:b/>
              </w:rPr>
            </w:pPr>
            <w:r w:rsidRPr="00FC01A2">
              <w:rPr>
                <w:b/>
              </w:rPr>
              <w:t>Refinery</w:t>
            </w:r>
            <w:r w:rsidRPr="00FC01A2">
              <w:rPr>
                <w:b/>
              </w:rPr>
              <w:br/>
              <w:t>$/Ton</w:t>
            </w:r>
          </w:p>
        </w:tc>
        <w:tc>
          <w:tcPr>
            <w:tcW w:w="555" w:type="pct"/>
            <w:vAlign w:val="center"/>
            <w:hideMark/>
          </w:tcPr>
          <w:p w14:paraId="48516C6A" w14:textId="77777777" w:rsidR="00893351" w:rsidRPr="00FC01A2" w:rsidRDefault="00893351" w:rsidP="001E7045">
            <w:pPr>
              <w:pStyle w:val="TableParagraph"/>
              <w:rPr>
                <w:b/>
              </w:rPr>
            </w:pPr>
            <w:r w:rsidRPr="00FC01A2">
              <w:rPr>
                <w:b/>
              </w:rPr>
              <w:t>TPY</w:t>
            </w:r>
            <w:r w:rsidRPr="00FC01A2">
              <w:rPr>
                <w:b/>
              </w:rPr>
              <w:br/>
              <w:t>Reduced</w:t>
            </w:r>
          </w:p>
        </w:tc>
        <w:tc>
          <w:tcPr>
            <w:tcW w:w="822" w:type="pct"/>
            <w:vAlign w:val="center"/>
            <w:hideMark/>
          </w:tcPr>
          <w:p w14:paraId="76B8FA24" w14:textId="77777777" w:rsidR="00893351" w:rsidRPr="00FC01A2" w:rsidRDefault="00893351" w:rsidP="001E7045">
            <w:pPr>
              <w:pStyle w:val="TableParagraph"/>
              <w:rPr>
                <w:b/>
              </w:rPr>
            </w:pPr>
            <w:r w:rsidRPr="00FC01A2">
              <w:rPr>
                <w:b/>
              </w:rPr>
              <w:t>Comment</w:t>
            </w:r>
          </w:p>
        </w:tc>
      </w:tr>
      <w:tr w:rsidR="00893351" w:rsidRPr="0074365B" w14:paraId="13FBC698" w14:textId="77777777" w:rsidTr="00FC01A2">
        <w:trPr>
          <w:trHeight w:val="432"/>
        </w:trPr>
        <w:tc>
          <w:tcPr>
            <w:tcW w:w="605" w:type="pct"/>
            <w:vAlign w:val="center"/>
            <w:hideMark/>
          </w:tcPr>
          <w:p w14:paraId="7A6A2D46" w14:textId="77777777" w:rsidR="00893351" w:rsidRPr="0074365B" w:rsidRDefault="00893351" w:rsidP="00FC01A2">
            <w:pPr>
              <w:pStyle w:val="TableParagraph"/>
            </w:pPr>
            <w:r w:rsidRPr="0074365B">
              <w:t xml:space="preserve">BP </w:t>
            </w:r>
          </w:p>
        </w:tc>
        <w:tc>
          <w:tcPr>
            <w:tcW w:w="1907" w:type="pct"/>
            <w:vAlign w:val="center"/>
            <w:hideMark/>
          </w:tcPr>
          <w:p w14:paraId="5657E1F2" w14:textId="421F5FB9" w:rsidR="00893351" w:rsidRPr="0074365B" w:rsidRDefault="00893351" w:rsidP="00EE5438">
            <w:pPr>
              <w:pStyle w:val="TableParagraph"/>
            </w:pPr>
            <w:r w:rsidRPr="0074365B">
              <w:t xml:space="preserve">#1 </w:t>
            </w:r>
            <w:r w:rsidR="00EE5438">
              <w:t>Reformer Heaters</w:t>
            </w:r>
          </w:p>
        </w:tc>
        <w:tc>
          <w:tcPr>
            <w:tcW w:w="555" w:type="pct"/>
            <w:vAlign w:val="center"/>
            <w:hideMark/>
          </w:tcPr>
          <w:p w14:paraId="0483E326" w14:textId="77777777" w:rsidR="00893351" w:rsidRPr="00150BED" w:rsidRDefault="00893351" w:rsidP="00FC01A2">
            <w:pPr>
              <w:pStyle w:val="TableParagraph"/>
            </w:pPr>
            <w:r w:rsidRPr="00150BED">
              <w:t>3,</w:t>
            </w:r>
            <w:r w:rsidRPr="00854163">
              <w:t>101</w:t>
            </w:r>
            <w:r w:rsidRPr="00150BED">
              <w:t xml:space="preserve"> </w:t>
            </w:r>
          </w:p>
        </w:tc>
        <w:tc>
          <w:tcPr>
            <w:tcW w:w="555" w:type="pct"/>
            <w:vAlign w:val="center"/>
            <w:hideMark/>
          </w:tcPr>
          <w:p w14:paraId="52ADE14D" w14:textId="77777777" w:rsidR="00893351" w:rsidRPr="0074365B" w:rsidRDefault="00893351" w:rsidP="00FC01A2">
            <w:pPr>
              <w:pStyle w:val="TableParagraph"/>
            </w:pPr>
            <w:r w:rsidRPr="0074365B">
              <w:t xml:space="preserve">24,378 </w:t>
            </w:r>
          </w:p>
        </w:tc>
        <w:tc>
          <w:tcPr>
            <w:tcW w:w="555" w:type="pct"/>
            <w:vAlign w:val="center"/>
            <w:hideMark/>
          </w:tcPr>
          <w:p w14:paraId="73A91F29" w14:textId="77777777" w:rsidR="00893351" w:rsidRPr="0074365B" w:rsidRDefault="00893351" w:rsidP="00FC01A2">
            <w:pPr>
              <w:pStyle w:val="TableParagraph"/>
            </w:pPr>
            <w:r w:rsidRPr="0074365B">
              <w:t xml:space="preserve">304 </w:t>
            </w:r>
          </w:p>
        </w:tc>
        <w:tc>
          <w:tcPr>
            <w:tcW w:w="822" w:type="pct"/>
            <w:vAlign w:val="center"/>
            <w:hideMark/>
          </w:tcPr>
          <w:p w14:paraId="3A1D6015" w14:textId="77777777" w:rsidR="00893351" w:rsidRPr="0074365B" w:rsidRDefault="00893351" w:rsidP="00FC01A2">
            <w:pPr>
              <w:pStyle w:val="TableParagraph"/>
            </w:pPr>
          </w:p>
        </w:tc>
      </w:tr>
      <w:tr w:rsidR="00893351" w:rsidRPr="0074365B" w14:paraId="533B47C7" w14:textId="77777777" w:rsidTr="00FC01A2">
        <w:trPr>
          <w:trHeight w:val="432"/>
        </w:trPr>
        <w:tc>
          <w:tcPr>
            <w:tcW w:w="605" w:type="pct"/>
            <w:vAlign w:val="center"/>
            <w:hideMark/>
          </w:tcPr>
          <w:p w14:paraId="3CFE7B34" w14:textId="77777777" w:rsidR="00893351" w:rsidRPr="0074365B" w:rsidRDefault="00893351" w:rsidP="00FC01A2">
            <w:pPr>
              <w:pStyle w:val="TableParagraph"/>
            </w:pPr>
            <w:r w:rsidRPr="0074365B">
              <w:t xml:space="preserve">BP </w:t>
            </w:r>
          </w:p>
        </w:tc>
        <w:tc>
          <w:tcPr>
            <w:tcW w:w="1907" w:type="pct"/>
            <w:vAlign w:val="center"/>
            <w:hideMark/>
          </w:tcPr>
          <w:p w14:paraId="09C94665" w14:textId="7EEE72DC" w:rsidR="00893351" w:rsidRPr="0074365B" w:rsidRDefault="00EE5438" w:rsidP="00FC01A2">
            <w:pPr>
              <w:pStyle w:val="TableParagraph"/>
            </w:pPr>
            <w:r>
              <w:t>Crude Heater</w:t>
            </w:r>
          </w:p>
        </w:tc>
        <w:tc>
          <w:tcPr>
            <w:tcW w:w="555" w:type="pct"/>
            <w:vAlign w:val="center"/>
            <w:hideMark/>
          </w:tcPr>
          <w:p w14:paraId="099E55A1" w14:textId="77777777" w:rsidR="00893351" w:rsidRPr="00150BED" w:rsidRDefault="00893351" w:rsidP="00FC01A2">
            <w:pPr>
              <w:pStyle w:val="TableParagraph"/>
            </w:pPr>
            <w:r w:rsidRPr="00150BED">
              <w:t>2,</w:t>
            </w:r>
            <w:r w:rsidRPr="00854163">
              <w:t>051</w:t>
            </w:r>
            <w:r w:rsidRPr="00150BED">
              <w:t xml:space="preserve"> </w:t>
            </w:r>
          </w:p>
        </w:tc>
        <w:tc>
          <w:tcPr>
            <w:tcW w:w="555" w:type="pct"/>
            <w:vAlign w:val="center"/>
            <w:hideMark/>
          </w:tcPr>
          <w:p w14:paraId="1A47B92A" w14:textId="77777777" w:rsidR="00893351" w:rsidRPr="0074365B" w:rsidRDefault="00893351" w:rsidP="00FC01A2">
            <w:pPr>
              <w:pStyle w:val="TableParagraph"/>
            </w:pPr>
            <w:r w:rsidRPr="0074365B">
              <w:t xml:space="preserve">24,378 </w:t>
            </w:r>
          </w:p>
        </w:tc>
        <w:tc>
          <w:tcPr>
            <w:tcW w:w="555" w:type="pct"/>
            <w:vAlign w:val="center"/>
            <w:hideMark/>
          </w:tcPr>
          <w:p w14:paraId="4C973229" w14:textId="77777777" w:rsidR="00893351" w:rsidRPr="0074365B" w:rsidRDefault="00893351" w:rsidP="00FC01A2">
            <w:pPr>
              <w:pStyle w:val="TableParagraph"/>
            </w:pPr>
            <w:r w:rsidRPr="0074365B">
              <w:t xml:space="preserve">393 </w:t>
            </w:r>
          </w:p>
        </w:tc>
        <w:tc>
          <w:tcPr>
            <w:tcW w:w="822" w:type="pct"/>
            <w:vAlign w:val="center"/>
            <w:hideMark/>
          </w:tcPr>
          <w:p w14:paraId="5F6C27AF" w14:textId="77777777" w:rsidR="00893351" w:rsidRPr="0074365B" w:rsidRDefault="00893351" w:rsidP="00FC01A2">
            <w:pPr>
              <w:pStyle w:val="TableParagraph"/>
            </w:pPr>
          </w:p>
        </w:tc>
      </w:tr>
      <w:tr w:rsidR="00893351" w:rsidRPr="0074365B" w14:paraId="4BB6717D" w14:textId="77777777" w:rsidTr="00FC01A2">
        <w:trPr>
          <w:trHeight w:val="432"/>
        </w:trPr>
        <w:tc>
          <w:tcPr>
            <w:tcW w:w="605" w:type="pct"/>
            <w:vAlign w:val="center"/>
            <w:hideMark/>
          </w:tcPr>
          <w:p w14:paraId="243D8A04" w14:textId="77777777" w:rsidR="00893351" w:rsidRPr="0074365B" w:rsidRDefault="00893351" w:rsidP="00FC01A2">
            <w:pPr>
              <w:pStyle w:val="TableParagraph"/>
            </w:pPr>
            <w:r w:rsidRPr="0074365B">
              <w:t xml:space="preserve">BP </w:t>
            </w:r>
          </w:p>
        </w:tc>
        <w:tc>
          <w:tcPr>
            <w:tcW w:w="1907" w:type="pct"/>
            <w:vAlign w:val="center"/>
            <w:hideMark/>
          </w:tcPr>
          <w:p w14:paraId="67E4846E" w14:textId="12FE123D" w:rsidR="00893351" w:rsidRPr="0074365B" w:rsidRDefault="00EE5438" w:rsidP="00FC01A2">
            <w:pPr>
              <w:pStyle w:val="TableParagraph"/>
            </w:pPr>
            <w:r>
              <w:t>Reforming Furnace #1 (N H2 Plant</w:t>
            </w:r>
            <w:r w:rsidR="00893351" w:rsidRPr="0074365B">
              <w:t>)</w:t>
            </w:r>
          </w:p>
        </w:tc>
        <w:tc>
          <w:tcPr>
            <w:tcW w:w="555" w:type="pct"/>
            <w:vAlign w:val="center"/>
            <w:hideMark/>
          </w:tcPr>
          <w:p w14:paraId="44B96D04" w14:textId="77777777" w:rsidR="00893351" w:rsidRPr="00150BED" w:rsidRDefault="00893351" w:rsidP="00FC01A2">
            <w:pPr>
              <w:pStyle w:val="TableParagraph"/>
            </w:pPr>
            <w:r w:rsidRPr="00854163">
              <w:t>6</w:t>
            </w:r>
            <w:r w:rsidRPr="00150BED">
              <w:t>,</w:t>
            </w:r>
            <w:r w:rsidRPr="00854163">
              <w:t>161</w:t>
            </w:r>
          </w:p>
        </w:tc>
        <w:tc>
          <w:tcPr>
            <w:tcW w:w="555" w:type="pct"/>
            <w:vAlign w:val="center"/>
            <w:hideMark/>
          </w:tcPr>
          <w:p w14:paraId="1898125D" w14:textId="77777777" w:rsidR="00893351" w:rsidRPr="0074365B" w:rsidRDefault="00893351" w:rsidP="00FC01A2">
            <w:pPr>
              <w:pStyle w:val="TableParagraph"/>
            </w:pPr>
            <w:r w:rsidRPr="0074365B">
              <w:t xml:space="preserve">78,065 </w:t>
            </w:r>
          </w:p>
        </w:tc>
        <w:tc>
          <w:tcPr>
            <w:tcW w:w="555" w:type="pct"/>
            <w:vAlign w:val="center"/>
            <w:hideMark/>
          </w:tcPr>
          <w:p w14:paraId="1D054072" w14:textId="77777777" w:rsidR="00893351" w:rsidRPr="0074365B" w:rsidRDefault="00893351" w:rsidP="00FC01A2">
            <w:pPr>
              <w:pStyle w:val="TableParagraph"/>
            </w:pPr>
            <w:r w:rsidRPr="0074365B">
              <w:t xml:space="preserve">262 </w:t>
            </w:r>
          </w:p>
        </w:tc>
        <w:tc>
          <w:tcPr>
            <w:tcW w:w="822" w:type="pct"/>
            <w:vAlign w:val="center"/>
            <w:hideMark/>
          </w:tcPr>
          <w:p w14:paraId="6D8613E7" w14:textId="77777777" w:rsidR="00893351" w:rsidRPr="0074365B" w:rsidRDefault="00893351" w:rsidP="00FC01A2">
            <w:pPr>
              <w:pStyle w:val="TableParagraph"/>
            </w:pPr>
            <w:r w:rsidRPr="0074365B">
              <w:t>Combined N &amp; S</w:t>
            </w:r>
          </w:p>
        </w:tc>
      </w:tr>
      <w:tr w:rsidR="00893351" w:rsidRPr="0074365B" w14:paraId="12877041" w14:textId="77777777" w:rsidTr="00FC01A2">
        <w:trPr>
          <w:trHeight w:val="432"/>
        </w:trPr>
        <w:tc>
          <w:tcPr>
            <w:tcW w:w="605" w:type="pct"/>
            <w:vAlign w:val="center"/>
            <w:hideMark/>
          </w:tcPr>
          <w:p w14:paraId="312CA9E5" w14:textId="77777777" w:rsidR="00893351" w:rsidRPr="0074365B" w:rsidRDefault="00893351" w:rsidP="00FC01A2">
            <w:pPr>
              <w:pStyle w:val="TableParagraph"/>
            </w:pPr>
            <w:r w:rsidRPr="0074365B">
              <w:t xml:space="preserve">BP </w:t>
            </w:r>
          </w:p>
        </w:tc>
        <w:tc>
          <w:tcPr>
            <w:tcW w:w="1907" w:type="pct"/>
            <w:vAlign w:val="center"/>
            <w:hideMark/>
          </w:tcPr>
          <w:p w14:paraId="197E75BC" w14:textId="2B4F1A2D" w:rsidR="00893351" w:rsidRPr="0074365B" w:rsidRDefault="00EE5438" w:rsidP="00FC01A2">
            <w:pPr>
              <w:pStyle w:val="TableParagraph"/>
            </w:pPr>
            <w:r>
              <w:t>Reforming Furnace #2 (S H2 Plant</w:t>
            </w:r>
            <w:r w:rsidR="00893351" w:rsidRPr="0074365B">
              <w:t>)</w:t>
            </w:r>
          </w:p>
        </w:tc>
        <w:tc>
          <w:tcPr>
            <w:tcW w:w="555" w:type="pct"/>
            <w:vAlign w:val="center"/>
            <w:hideMark/>
          </w:tcPr>
          <w:p w14:paraId="237761F9" w14:textId="77777777" w:rsidR="00893351" w:rsidRPr="0074365B" w:rsidRDefault="00893351" w:rsidP="00FC01A2">
            <w:pPr>
              <w:pStyle w:val="TableParagraph"/>
            </w:pPr>
            <w:r>
              <w:t>---</w:t>
            </w:r>
          </w:p>
        </w:tc>
        <w:tc>
          <w:tcPr>
            <w:tcW w:w="555" w:type="pct"/>
            <w:vAlign w:val="center"/>
            <w:hideMark/>
          </w:tcPr>
          <w:p w14:paraId="35F65B89" w14:textId="77777777" w:rsidR="00893351" w:rsidRPr="0074365B" w:rsidRDefault="00893351" w:rsidP="00FC01A2">
            <w:pPr>
              <w:pStyle w:val="TableParagraph"/>
            </w:pPr>
            <w:r>
              <w:t>---</w:t>
            </w:r>
          </w:p>
        </w:tc>
        <w:tc>
          <w:tcPr>
            <w:tcW w:w="555" w:type="pct"/>
            <w:vAlign w:val="center"/>
            <w:hideMark/>
          </w:tcPr>
          <w:p w14:paraId="47225496" w14:textId="77777777" w:rsidR="00893351" w:rsidRPr="0074365B" w:rsidRDefault="00893351" w:rsidP="00FC01A2">
            <w:pPr>
              <w:pStyle w:val="TableParagraph"/>
            </w:pPr>
            <w:r>
              <w:t>---</w:t>
            </w:r>
          </w:p>
        </w:tc>
        <w:tc>
          <w:tcPr>
            <w:tcW w:w="822" w:type="pct"/>
            <w:vAlign w:val="center"/>
            <w:hideMark/>
          </w:tcPr>
          <w:p w14:paraId="0B13D2B7" w14:textId="77777777" w:rsidR="00893351" w:rsidRPr="0074365B" w:rsidRDefault="00893351" w:rsidP="00FC01A2">
            <w:pPr>
              <w:pStyle w:val="TableParagraph"/>
            </w:pPr>
          </w:p>
        </w:tc>
      </w:tr>
    </w:tbl>
    <w:p w14:paraId="7D70FCE5" w14:textId="0F79D60E" w:rsidR="003C7CCC" w:rsidRDefault="00F64E64" w:rsidP="000B6340">
      <w:pPr>
        <w:pStyle w:val="Paragraph"/>
      </w:pPr>
      <w:r>
        <w:lastRenderedPageBreak/>
        <w:t>Ecology reviewed t</w:t>
      </w:r>
      <w:r w:rsidR="00893351">
        <w:t>he following equipment</w:t>
      </w:r>
      <w:r>
        <w:t xml:space="preserve"> </w:t>
      </w:r>
      <w:r w:rsidR="00893351">
        <w:t xml:space="preserve">using the EPA </w:t>
      </w:r>
      <w:r w:rsidR="00F46750">
        <w:t>Control</w:t>
      </w:r>
      <w:r w:rsidR="00893351">
        <w:t xml:space="preserve"> Cost </w:t>
      </w:r>
      <w:r w:rsidR="00F46750">
        <w:t>Manual</w:t>
      </w:r>
      <w:r w:rsidR="003C7CCC" w:rsidRPr="003C7CCC">
        <w:rPr>
          <w:rFonts w:ascii="Helvetica" w:hAnsi="Helvetica"/>
          <w:b/>
          <w:bCs/>
          <w:color w:val="212121"/>
          <w:sz w:val="26"/>
          <w:szCs w:val="26"/>
          <w:shd w:val="clear" w:color="auto" w:fill="F1F1F1"/>
        </w:rPr>
        <w:t xml:space="preserve"> </w:t>
      </w:r>
    </w:p>
    <w:p w14:paraId="6393067E" w14:textId="65648F33" w:rsidR="00893351" w:rsidRPr="0040491F" w:rsidRDefault="0040491F" w:rsidP="0040491F">
      <w:pPr>
        <w:pStyle w:val="Heading7"/>
      </w:pPr>
      <w:bookmarkStart w:id="179" w:name="_Toc51673406"/>
      <w:r>
        <w:t>Reformer Heaters</w:t>
      </w:r>
      <w:bookmarkEnd w:id="179"/>
    </w:p>
    <w:p w14:paraId="1A6CED96" w14:textId="52451E63" w:rsidR="00893351" w:rsidRDefault="00893351" w:rsidP="000B6340">
      <w:pPr>
        <w:pStyle w:val="Paragraph"/>
      </w:pPr>
      <w:r w:rsidRPr="009620B7">
        <w:t xml:space="preserve">Ramboll </w:t>
      </w:r>
      <w:r>
        <w:t>supplied a table with the limited backup information.</w:t>
      </w:r>
      <w:r w:rsidR="0067717B">
        <w:t xml:space="preserve"> </w:t>
      </w:r>
      <w:r>
        <w:t>Ecology found the following discrepancies that inf</w:t>
      </w:r>
      <w:r w:rsidR="0067717B">
        <w:t>lated the cost for the retrofit.</w:t>
      </w:r>
    </w:p>
    <w:p w14:paraId="0BFD60E5" w14:textId="531BC4B9" w:rsidR="00A97552" w:rsidRDefault="00A97552" w:rsidP="00A97552">
      <w:pPr>
        <w:pStyle w:val="Caption"/>
        <w:keepNext/>
        <w:spacing w:after="0"/>
      </w:pPr>
      <w:bookmarkStart w:id="180" w:name="_Toc51675380"/>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9</w:t>
      </w:r>
      <w:r w:rsidR="00F45623">
        <w:rPr>
          <w:noProof/>
        </w:rPr>
        <w:fldChar w:fldCharType="end"/>
      </w:r>
      <w:r>
        <w:t xml:space="preserve">: </w:t>
      </w:r>
      <w:r w:rsidR="00823FF3">
        <w:t>Reformer h</w:t>
      </w:r>
      <w:r w:rsidRPr="009F0D4B">
        <w:t xml:space="preserve">eaters </w:t>
      </w:r>
      <w:r w:rsidR="00823FF3">
        <w:t>c</w:t>
      </w:r>
      <w:r w:rsidRPr="009F0D4B">
        <w:t xml:space="preserve">ost </w:t>
      </w:r>
      <w:r w:rsidR="00823FF3">
        <w:t>c</w:t>
      </w:r>
      <w:r w:rsidRPr="009F0D4B">
        <w:t>omparison</w:t>
      </w:r>
      <w:bookmarkEnd w:id="180"/>
    </w:p>
    <w:tbl>
      <w:tblPr>
        <w:tblStyle w:val="TableGrid"/>
        <w:tblW w:w="5000" w:type="pct"/>
        <w:tblLook w:val="04A0" w:firstRow="1" w:lastRow="0" w:firstColumn="1" w:lastColumn="0" w:noHBand="0" w:noVBand="1"/>
      </w:tblPr>
      <w:tblGrid>
        <w:gridCol w:w="3784"/>
        <w:gridCol w:w="2394"/>
        <w:gridCol w:w="3172"/>
      </w:tblGrid>
      <w:tr w:rsidR="00893351" w:rsidRPr="003847E1" w14:paraId="72A16164" w14:textId="77777777" w:rsidTr="00690FBC">
        <w:trPr>
          <w:cantSplit/>
          <w:trHeight w:val="432"/>
          <w:tblHeader/>
        </w:trPr>
        <w:tc>
          <w:tcPr>
            <w:tcW w:w="2024" w:type="pct"/>
            <w:vAlign w:val="center"/>
          </w:tcPr>
          <w:p w14:paraId="2F87CE5A" w14:textId="77777777" w:rsidR="00893351" w:rsidRPr="00A97552" w:rsidRDefault="00893351" w:rsidP="00A97552">
            <w:pPr>
              <w:pStyle w:val="TableParagraph"/>
              <w:rPr>
                <w:b/>
              </w:rPr>
            </w:pPr>
          </w:p>
        </w:tc>
        <w:tc>
          <w:tcPr>
            <w:tcW w:w="1280" w:type="pct"/>
            <w:vAlign w:val="center"/>
          </w:tcPr>
          <w:p w14:paraId="08040E6B" w14:textId="522C818C" w:rsidR="00893351" w:rsidRPr="00A97552" w:rsidRDefault="005D4EAA" w:rsidP="00690FBC">
            <w:pPr>
              <w:pStyle w:val="TableParagraph"/>
              <w:jc w:val="center"/>
              <w:rPr>
                <w:b/>
              </w:rPr>
            </w:pPr>
            <w:r>
              <w:rPr>
                <w:b/>
              </w:rPr>
              <w:t>Ramboll</w:t>
            </w:r>
          </w:p>
        </w:tc>
        <w:tc>
          <w:tcPr>
            <w:tcW w:w="1697" w:type="pct"/>
            <w:vAlign w:val="center"/>
          </w:tcPr>
          <w:p w14:paraId="1EA9C96F" w14:textId="26797989" w:rsidR="00893351" w:rsidRPr="00A97552" w:rsidRDefault="00893351" w:rsidP="00690FBC">
            <w:pPr>
              <w:pStyle w:val="TableParagraph"/>
              <w:jc w:val="center"/>
              <w:rPr>
                <w:b/>
              </w:rPr>
            </w:pPr>
            <w:r w:rsidRPr="00A97552">
              <w:rPr>
                <w:b/>
              </w:rPr>
              <w:t xml:space="preserve">Ecology – </w:t>
            </w:r>
            <w:r w:rsidRPr="00A97552">
              <w:rPr>
                <w:b/>
              </w:rPr>
              <w:br/>
              <w:t xml:space="preserve">EPA </w:t>
            </w:r>
            <w:r w:rsidR="00E35B04">
              <w:rPr>
                <w:b/>
              </w:rPr>
              <w:t>Control Cost Manual</w:t>
            </w:r>
          </w:p>
        </w:tc>
      </w:tr>
      <w:tr w:rsidR="00893351" w:rsidRPr="002A610F" w14:paraId="3D8EC751" w14:textId="77777777" w:rsidTr="00A97552">
        <w:trPr>
          <w:trHeight w:val="432"/>
        </w:trPr>
        <w:tc>
          <w:tcPr>
            <w:tcW w:w="2024" w:type="pct"/>
            <w:vAlign w:val="center"/>
          </w:tcPr>
          <w:p w14:paraId="342230C4" w14:textId="77777777" w:rsidR="00893351" w:rsidRPr="002A610F" w:rsidRDefault="00893351" w:rsidP="00A97552">
            <w:pPr>
              <w:pStyle w:val="TableParagraph"/>
            </w:pPr>
            <w:r w:rsidRPr="002A610F">
              <w:t>Capital cost $</w:t>
            </w:r>
          </w:p>
        </w:tc>
        <w:tc>
          <w:tcPr>
            <w:tcW w:w="1280" w:type="pct"/>
            <w:vAlign w:val="center"/>
          </w:tcPr>
          <w:p w14:paraId="1EB5975D" w14:textId="77777777" w:rsidR="00893351" w:rsidRPr="002A610F" w:rsidRDefault="00893351" w:rsidP="00A97552">
            <w:pPr>
              <w:pStyle w:val="TableParagraph"/>
            </w:pPr>
            <w:r w:rsidRPr="002A610F">
              <w:t>94,809,582</w:t>
            </w:r>
          </w:p>
        </w:tc>
        <w:tc>
          <w:tcPr>
            <w:tcW w:w="1697" w:type="pct"/>
            <w:vAlign w:val="center"/>
          </w:tcPr>
          <w:p w14:paraId="377C7B31" w14:textId="77777777" w:rsidR="00893351" w:rsidRPr="002A610F" w:rsidRDefault="00893351" w:rsidP="00A97552">
            <w:pPr>
              <w:pStyle w:val="TableParagraph"/>
            </w:pPr>
            <w:r w:rsidRPr="002A610F">
              <w:t>9,929,730</w:t>
            </w:r>
          </w:p>
        </w:tc>
      </w:tr>
      <w:tr w:rsidR="00893351" w:rsidRPr="002A610F" w14:paraId="647F55DE" w14:textId="77777777" w:rsidTr="00A97552">
        <w:trPr>
          <w:trHeight w:val="432"/>
        </w:trPr>
        <w:tc>
          <w:tcPr>
            <w:tcW w:w="2024" w:type="pct"/>
            <w:vAlign w:val="center"/>
          </w:tcPr>
          <w:p w14:paraId="298130F7" w14:textId="77777777" w:rsidR="00893351" w:rsidRPr="002A610F" w:rsidRDefault="00893351" w:rsidP="00A97552">
            <w:pPr>
              <w:pStyle w:val="TableParagraph"/>
            </w:pPr>
            <w:r w:rsidRPr="002A610F">
              <w:t>Maintenance $/yr</w:t>
            </w:r>
          </w:p>
        </w:tc>
        <w:tc>
          <w:tcPr>
            <w:tcW w:w="1280" w:type="pct"/>
            <w:vAlign w:val="center"/>
          </w:tcPr>
          <w:p w14:paraId="5C403298" w14:textId="77777777" w:rsidR="00893351" w:rsidRPr="002A610F" w:rsidRDefault="00893351" w:rsidP="00A97552">
            <w:pPr>
              <w:pStyle w:val="TableParagraph"/>
            </w:pPr>
            <w:r w:rsidRPr="002A610F">
              <w:t>420,048</w:t>
            </w:r>
          </w:p>
        </w:tc>
        <w:tc>
          <w:tcPr>
            <w:tcW w:w="1697" w:type="pct"/>
            <w:vAlign w:val="center"/>
          </w:tcPr>
          <w:p w14:paraId="25E1DA45" w14:textId="77777777" w:rsidR="00893351" w:rsidRPr="002A610F" w:rsidRDefault="00893351" w:rsidP="00A97552">
            <w:pPr>
              <w:pStyle w:val="TableParagraph"/>
            </w:pPr>
            <w:r w:rsidRPr="002A610F">
              <w:t>49,649</w:t>
            </w:r>
          </w:p>
        </w:tc>
      </w:tr>
      <w:tr w:rsidR="00893351" w:rsidRPr="002A610F" w14:paraId="7CCD03E5" w14:textId="77777777" w:rsidTr="00A97552">
        <w:trPr>
          <w:trHeight w:val="432"/>
        </w:trPr>
        <w:tc>
          <w:tcPr>
            <w:tcW w:w="2024" w:type="pct"/>
            <w:vAlign w:val="center"/>
          </w:tcPr>
          <w:p w14:paraId="040E0676" w14:textId="77777777" w:rsidR="00893351" w:rsidRPr="002A610F" w:rsidRDefault="00893351" w:rsidP="00A97552">
            <w:pPr>
              <w:pStyle w:val="TableParagraph"/>
            </w:pPr>
            <w:r w:rsidRPr="002A610F">
              <w:t>Reagent $/yr</w:t>
            </w:r>
          </w:p>
        </w:tc>
        <w:tc>
          <w:tcPr>
            <w:tcW w:w="1280" w:type="pct"/>
            <w:vAlign w:val="center"/>
          </w:tcPr>
          <w:p w14:paraId="291A840E" w14:textId="77777777" w:rsidR="00893351" w:rsidRPr="002A610F" w:rsidRDefault="00893351" w:rsidP="00A97552">
            <w:pPr>
              <w:pStyle w:val="TableParagraph"/>
            </w:pPr>
            <w:r w:rsidRPr="002A610F">
              <w:t>284,001</w:t>
            </w:r>
          </w:p>
        </w:tc>
        <w:tc>
          <w:tcPr>
            <w:tcW w:w="1697" w:type="pct"/>
            <w:vAlign w:val="center"/>
          </w:tcPr>
          <w:p w14:paraId="7948E6D9" w14:textId="77777777" w:rsidR="00893351" w:rsidRPr="002A610F" w:rsidRDefault="00893351" w:rsidP="00A97552">
            <w:pPr>
              <w:pStyle w:val="TableParagraph"/>
            </w:pPr>
            <w:r w:rsidRPr="002A610F">
              <w:t>57,895</w:t>
            </w:r>
          </w:p>
        </w:tc>
      </w:tr>
      <w:tr w:rsidR="00893351" w:rsidRPr="002A610F" w14:paraId="238B8CE2" w14:textId="77777777" w:rsidTr="00A97552">
        <w:trPr>
          <w:trHeight w:val="432"/>
        </w:trPr>
        <w:tc>
          <w:tcPr>
            <w:tcW w:w="2024" w:type="pct"/>
            <w:vAlign w:val="center"/>
          </w:tcPr>
          <w:p w14:paraId="601B6C23" w14:textId="77777777" w:rsidR="00893351" w:rsidRPr="002A610F" w:rsidRDefault="00893351" w:rsidP="00A97552">
            <w:pPr>
              <w:pStyle w:val="TableParagraph"/>
            </w:pPr>
            <w:r w:rsidRPr="002A610F">
              <w:t>Catalyst $/yr</w:t>
            </w:r>
          </w:p>
        </w:tc>
        <w:tc>
          <w:tcPr>
            <w:tcW w:w="1280" w:type="pct"/>
            <w:vAlign w:val="center"/>
          </w:tcPr>
          <w:p w14:paraId="171075FA" w14:textId="77777777" w:rsidR="00893351" w:rsidRPr="002A610F" w:rsidRDefault="00893351" w:rsidP="00A97552">
            <w:pPr>
              <w:pStyle w:val="TableParagraph"/>
            </w:pPr>
            <w:r w:rsidRPr="002A610F">
              <w:t>180,467</w:t>
            </w:r>
          </w:p>
        </w:tc>
        <w:tc>
          <w:tcPr>
            <w:tcW w:w="1697" w:type="pct"/>
            <w:vAlign w:val="center"/>
          </w:tcPr>
          <w:p w14:paraId="7AB24199" w14:textId="45CAC6E3" w:rsidR="00893351" w:rsidRPr="002A610F" w:rsidRDefault="00893351" w:rsidP="00A97552">
            <w:pPr>
              <w:pStyle w:val="TableParagraph"/>
            </w:pPr>
            <w:r>
              <w:rPr>
                <w:rFonts w:ascii="Calibri" w:hAnsi="Calibri" w:cs="Calibri"/>
                <w:color w:val="000000"/>
              </w:rPr>
              <w:t xml:space="preserve">33,548 </w:t>
            </w:r>
          </w:p>
        </w:tc>
      </w:tr>
      <w:tr w:rsidR="00893351" w:rsidRPr="002A610F" w14:paraId="0EE535D7" w14:textId="77777777" w:rsidTr="00A97552">
        <w:trPr>
          <w:trHeight w:val="432"/>
        </w:trPr>
        <w:tc>
          <w:tcPr>
            <w:tcW w:w="2024" w:type="pct"/>
            <w:vAlign w:val="center"/>
          </w:tcPr>
          <w:p w14:paraId="3BA88F25" w14:textId="77777777" w:rsidR="00893351" w:rsidRPr="002A610F" w:rsidRDefault="00893351" w:rsidP="00A97552">
            <w:pPr>
              <w:pStyle w:val="TableParagraph"/>
            </w:pPr>
            <w:r w:rsidRPr="002A610F">
              <w:t>Annualized cost $/yr</w:t>
            </w:r>
          </w:p>
        </w:tc>
        <w:tc>
          <w:tcPr>
            <w:tcW w:w="1280" w:type="pct"/>
            <w:vAlign w:val="center"/>
          </w:tcPr>
          <w:p w14:paraId="4C885E80" w14:textId="77777777" w:rsidR="00893351" w:rsidRPr="002A610F" w:rsidRDefault="00893351" w:rsidP="00A97552">
            <w:pPr>
              <w:pStyle w:val="TableParagraph"/>
            </w:pPr>
            <w:r w:rsidRPr="002A610F">
              <w:t>7,827,719</w:t>
            </w:r>
          </w:p>
        </w:tc>
        <w:tc>
          <w:tcPr>
            <w:tcW w:w="1697" w:type="pct"/>
            <w:vAlign w:val="center"/>
          </w:tcPr>
          <w:p w14:paraId="1C9B5A55" w14:textId="10C78701" w:rsidR="00893351" w:rsidRPr="002A610F" w:rsidRDefault="00893351" w:rsidP="00A97552">
            <w:pPr>
              <w:pStyle w:val="TableParagraph"/>
            </w:pPr>
            <w:r>
              <w:rPr>
                <w:rFonts w:ascii="Calibri" w:hAnsi="Calibri" w:cs="Calibri"/>
                <w:color w:val="000000"/>
              </w:rPr>
              <w:t xml:space="preserve">943,315 </w:t>
            </w:r>
          </w:p>
        </w:tc>
      </w:tr>
      <w:tr w:rsidR="00893351" w:rsidRPr="002A610F" w14:paraId="3672B3EE" w14:textId="77777777" w:rsidTr="00A97552">
        <w:trPr>
          <w:trHeight w:val="432"/>
        </w:trPr>
        <w:tc>
          <w:tcPr>
            <w:tcW w:w="2024" w:type="pct"/>
            <w:vAlign w:val="center"/>
          </w:tcPr>
          <w:p w14:paraId="0A4F2D1C" w14:textId="146EDCAB" w:rsidR="00893351" w:rsidRPr="002A610F" w:rsidRDefault="001E255C" w:rsidP="00A97552">
            <w:pPr>
              <w:pStyle w:val="TableParagraph"/>
            </w:pPr>
            <w:r w:rsidRPr="001E255C">
              <w:rPr>
                <w:rStyle w:val="ParagraphChar"/>
              </w:rPr>
              <w:t>NO</w:t>
            </w:r>
            <w:r w:rsidRPr="001E255C">
              <w:rPr>
                <w:rStyle w:val="ParagraphChar"/>
                <w:vertAlign w:val="subscript"/>
              </w:rPr>
              <w:t>X</w:t>
            </w:r>
            <w:r w:rsidR="00893351" w:rsidRPr="002A610F">
              <w:t xml:space="preserve"> tpy reduced</w:t>
            </w:r>
          </w:p>
        </w:tc>
        <w:tc>
          <w:tcPr>
            <w:tcW w:w="1280" w:type="pct"/>
            <w:vAlign w:val="center"/>
          </w:tcPr>
          <w:p w14:paraId="1A8240E6" w14:textId="77777777" w:rsidR="00893351" w:rsidRPr="002A610F" w:rsidRDefault="00893351" w:rsidP="00A97552">
            <w:pPr>
              <w:pStyle w:val="TableParagraph"/>
            </w:pPr>
            <w:r w:rsidRPr="002A610F">
              <w:t>321</w:t>
            </w:r>
          </w:p>
        </w:tc>
        <w:tc>
          <w:tcPr>
            <w:tcW w:w="1697" w:type="pct"/>
            <w:vAlign w:val="center"/>
          </w:tcPr>
          <w:p w14:paraId="1200741A" w14:textId="77777777" w:rsidR="00893351" w:rsidRPr="002A610F" w:rsidRDefault="00893351" w:rsidP="00A97552">
            <w:pPr>
              <w:pStyle w:val="TableParagraph"/>
            </w:pPr>
            <w:r w:rsidRPr="002A610F">
              <w:t>304</w:t>
            </w:r>
          </w:p>
        </w:tc>
      </w:tr>
      <w:tr w:rsidR="00893351" w:rsidRPr="002A610F" w14:paraId="6CCACEB7" w14:textId="77777777" w:rsidTr="00A97552">
        <w:trPr>
          <w:trHeight w:val="432"/>
        </w:trPr>
        <w:tc>
          <w:tcPr>
            <w:tcW w:w="2024" w:type="pct"/>
            <w:vAlign w:val="center"/>
          </w:tcPr>
          <w:p w14:paraId="696D8AEC" w14:textId="64DCDD62" w:rsidR="00893351" w:rsidRPr="002A610F" w:rsidRDefault="00893351" w:rsidP="00A97552">
            <w:pPr>
              <w:pStyle w:val="TableParagraph"/>
            </w:pPr>
            <w:r w:rsidRPr="002A610F">
              <w:t xml:space="preserve">$/ton </w:t>
            </w:r>
            <w:r w:rsidR="00132EBB" w:rsidRPr="001E255C">
              <w:rPr>
                <w:rStyle w:val="ParagraphChar"/>
              </w:rPr>
              <w:t>NO</w:t>
            </w:r>
            <w:r w:rsidR="00132EBB" w:rsidRPr="001E255C">
              <w:rPr>
                <w:rStyle w:val="ParagraphChar"/>
                <w:vertAlign w:val="subscript"/>
              </w:rPr>
              <w:t>X</w:t>
            </w:r>
            <w:r w:rsidRPr="002A610F">
              <w:t xml:space="preserve"> reduced</w:t>
            </w:r>
          </w:p>
        </w:tc>
        <w:tc>
          <w:tcPr>
            <w:tcW w:w="1280" w:type="pct"/>
            <w:vAlign w:val="center"/>
          </w:tcPr>
          <w:p w14:paraId="2A777B4B" w14:textId="77777777" w:rsidR="00893351" w:rsidRPr="002A610F" w:rsidRDefault="00893351" w:rsidP="00A97552">
            <w:pPr>
              <w:pStyle w:val="TableParagraph"/>
            </w:pPr>
            <w:r w:rsidRPr="002A610F">
              <w:t>24,378</w:t>
            </w:r>
          </w:p>
        </w:tc>
        <w:tc>
          <w:tcPr>
            <w:tcW w:w="1697" w:type="pct"/>
            <w:vAlign w:val="center"/>
          </w:tcPr>
          <w:p w14:paraId="561E8B17" w14:textId="03094932" w:rsidR="00893351" w:rsidRPr="002A610F" w:rsidRDefault="00A97552" w:rsidP="00A97552">
            <w:pPr>
              <w:pStyle w:val="TableParagraph"/>
            </w:pPr>
            <w:r>
              <w:rPr>
                <w:rFonts w:ascii="Calibri" w:hAnsi="Calibri" w:cs="Calibri"/>
                <w:color w:val="000000"/>
              </w:rPr>
              <w:t>3,101</w:t>
            </w:r>
          </w:p>
        </w:tc>
      </w:tr>
    </w:tbl>
    <w:p w14:paraId="4C4D7211" w14:textId="11FB5767" w:rsidR="00893351" w:rsidRDefault="00893351" w:rsidP="000B6340">
      <w:pPr>
        <w:pStyle w:val="Paragraph"/>
      </w:pPr>
      <w:r w:rsidRPr="007C419D">
        <w:t xml:space="preserve">Ecology used the EPA </w:t>
      </w:r>
      <w:r w:rsidR="00E35B04">
        <w:t>Control Cost Manual</w:t>
      </w:r>
      <w:r w:rsidRPr="007C419D">
        <w:t xml:space="preserve"> cost with 90% controls.</w:t>
      </w:r>
      <w:r w:rsidR="0067717B">
        <w:t xml:space="preserve"> </w:t>
      </w:r>
      <w:r w:rsidRPr="007C419D">
        <w:t>Ramboll did not supply the cost data the</w:t>
      </w:r>
      <w:r w:rsidR="000B6340">
        <w:t>y used to scale their cost data.</w:t>
      </w:r>
    </w:p>
    <w:p w14:paraId="521DDCFA" w14:textId="3BFD8F37" w:rsidR="00893351" w:rsidRPr="00C5621E" w:rsidRDefault="0040491F" w:rsidP="0040491F">
      <w:pPr>
        <w:pStyle w:val="Heading7"/>
      </w:pPr>
      <w:bookmarkStart w:id="181" w:name="_Toc51673407"/>
      <w:r>
        <w:t>Crude Heater</w:t>
      </w:r>
      <w:bookmarkEnd w:id="181"/>
    </w:p>
    <w:p w14:paraId="5EB344C0" w14:textId="42E771AA" w:rsidR="00893351" w:rsidRDefault="00B91B6C" w:rsidP="000B6340">
      <w:pPr>
        <w:pStyle w:val="Paragraph"/>
      </w:pPr>
      <w:r>
        <w:t>Ramboll</w:t>
      </w:r>
      <w:r w:rsidR="00893351" w:rsidRPr="009620B7">
        <w:t xml:space="preserve"> supplied a table with the limited backup information.</w:t>
      </w:r>
      <w:r w:rsidR="0067717B">
        <w:t xml:space="preserve"> </w:t>
      </w:r>
      <w:r w:rsidR="00893351" w:rsidRPr="009620B7">
        <w:t>Ecology found the following discrepancies that inflated the cost for the retrofit.</w:t>
      </w:r>
    </w:p>
    <w:p w14:paraId="4A59268A" w14:textId="6226E472" w:rsidR="00B31312" w:rsidRDefault="00B31312" w:rsidP="00B31312">
      <w:pPr>
        <w:pStyle w:val="Caption"/>
        <w:keepNext/>
        <w:spacing w:after="0"/>
      </w:pPr>
      <w:bookmarkStart w:id="182" w:name="_Toc51675381"/>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10</w:t>
      </w:r>
      <w:r w:rsidR="00F45623">
        <w:rPr>
          <w:noProof/>
        </w:rPr>
        <w:fldChar w:fldCharType="end"/>
      </w:r>
      <w:r>
        <w:t xml:space="preserve">: </w:t>
      </w:r>
      <w:r w:rsidR="00E51452">
        <w:t>Crude heater cost c</w:t>
      </w:r>
      <w:r w:rsidRPr="00D34512">
        <w:t>omparison</w:t>
      </w:r>
      <w:bookmarkEnd w:id="182"/>
    </w:p>
    <w:tbl>
      <w:tblPr>
        <w:tblStyle w:val="TableGrid"/>
        <w:tblW w:w="5000" w:type="pct"/>
        <w:tblLook w:val="04A0" w:firstRow="1" w:lastRow="0" w:firstColumn="1" w:lastColumn="0" w:noHBand="0" w:noVBand="1"/>
      </w:tblPr>
      <w:tblGrid>
        <w:gridCol w:w="3784"/>
        <w:gridCol w:w="2394"/>
        <w:gridCol w:w="3172"/>
      </w:tblGrid>
      <w:tr w:rsidR="00893351" w:rsidRPr="007C419D" w14:paraId="292B556F" w14:textId="77777777" w:rsidTr="00B31312">
        <w:trPr>
          <w:cantSplit/>
          <w:trHeight w:val="432"/>
          <w:tblHeader/>
        </w:trPr>
        <w:tc>
          <w:tcPr>
            <w:tcW w:w="2024" w:type="pct"/>
            <w:vAlign w:val="center"/>
          </w:tcPr>
          <w:p w14:paraId="068E48CE" w14:textId="77777777" w:rsidR="00893351" w:rsidRPr="00B31312" w:rsidRDefault="00893351" w:rsidP="00B31312">
            <w:pPr>
              <w:pStyle w:val="TableParagraph"/>
              <w:rPr>
                <w:b/>
              </w:rPr>
            </w:pPr>
          </w:p>
        </w:tc>
        <w:tc>
          <w:tcPr>
            <w:tcW w:w="1280" w:type="pct"/>
            <w:vAlign w:val="center"/>
          </w:tcPr>
          <w:p w14:paraId="1B8BAF86" w14:textId="5967F394" w:rsidR="00893351" w:rsidRPr="00B31312" w:rsidRDefault="005D4EAA" w:rsidP="00B31312">
            <w:pPr>
              <w:pStyle w:val="TableParagraph"/>
              <w:rPr>
                <w:b/>
              </w:rPr>
            </w:pPr>
            <w:r>
              <w:rPr>
                <w:b/>
              </w:rPr>
              <w:t>Ram</w:t>
            </w:r>
            <w:r w:rsidR="009E6F97">
              <w:rPr>
                <w:b/>
              </w:rPr>
              <w:t>boll</w:t>
            </w:r>
          </w:p>
        </w:tc>
        <w:tc>
          <w:tcPr>
            <w:tcW w:w="1697" w:type="pct"/>
            <w:vAlign w:val="center"/>
          </w:tcPr>
          <w:p w14:paraId="58D9735B" w14:textId="3A7E2F6A" w:rsidR="00893351" w:rsidRPr="00B31312" w:rsidRDefault="00893351" w:rsidP="00B31312">
            <w:pPr>
              <w:pStyle w:val="TableParagraph"/>
              <w:rPr>
                <w:b/>
              </w:rPr>
            </w:pPr>
            <w:r w:rsidRPr="00B31312">
              <w:rPr>
                <w:b/>
              </w:rPr>
              <w:t xml:space="preserve">Ecology – </w:t>
            </w:r>
            <w:r w:rsidRPr="00B31312">
              <w:rPr>
                <w:b/>
              </w:rPr>
              <w:br/>
              <w:t xml:space="preserve">EPA </w:t>
            </w:r>
            <w:r w:rsidR="00E35B04">
              <w:rPr>
                <w:b/>
              </w:rPr>
              <w:t>Control Cost Manual</w:t>
            </w:r>
          </w:p>
        </w:tc>
      </w:tr>
      <w:tr w:rsidR="00893351" w:rsidRPr="007C419D" w14:paraId="33C003B0" w14:textId="77777777" w:rsidTr="00B31312">
        <w:trPr>
          <w:trHeight w:val="432"/>
        </w:trPr>
        <w:tc>
          <w:tcPr>
            <w:tcW w:w="2024" w:type="pct"/>
            <w:vAlign w:val="center"/>
          </w:tcPr>
          <w:p w14:paraId="7E7941F6" w14:textId="77777777" w:rsidR="00893351" w:rsidRPr="007C419D" w:rsidRDefault="00893351" w:rsidP="00B31312">
            <w:pPr>
              <w:pStyle w:val="TableParagraph"/>
            </w:pPr>
            <w:r w:rsidRPr="007C419D">
              <w:t>Capital cost $</w:t>
            </w:r>
          </w:p>
        </w:tc>
        <w:tc>
          <w:tcPr>
            <w:tcW w:w="1280" w:type="pct"/>
            <w:vAlign w:val="center"/>
          </w:tcPr>
          <w:p w14:paraId="0CE474E1" w14:textId="77777777" w:rsidR="00893351" w:rsidRPr="007C419D" w:rsidRDefault="00893351" w:rsidP="00B31312">
            <w:pPr>
              <w:pStyle w:val="TableParagraph"/>
            </w:pPr>
            <w:r w:rsidRPr="007C419D">
              <w:t>94,809,582</w:t>
            </w:r>
          </w:p>
        </w:tc>
        <w:tc>
          <w:tcPr>
            <w:tcW w:w="1697" w:type="pct"/>
            <w:vAlign w:val="center"/>
          </w:tcPr>
          <w:p w14:paraId="33648E9E" w14:textId="77777777" w:rsidR="00893351" w:rsidRPr="007C419D" w:rsidRDefault="00893351" w:rsidP="00B31312">
            <w:pPr>
              <w:pStyle w:val="TableParagraph"/>
            </w:pPr>
            <w:r>
              <w:rPr>
                <w:rFonts w:ascii="Calibri" w:hAnsi="Calibri" w:cs="Calibri"/>
                <w:color w:val="000000"/>
              </w:rPr>
              <w:t>9,325,358</w:t>
            </w:r>
          </w:p>
        </w:tc>
      </w:tr>
      <w:tr w:rsidR="00893351" w:rsidRPr="007C419D" w14:paraId="55D0D7BF" w14:textId="77777777" w:rsidTr="00B31312">
        <w:trPr>
          <w:trHeight w:val="432"/>
        </w:trPr>
        <w:tc>
          <w:tcPr>
            <w:tcW w:w="2024" w:type="pct"/>
            <w:vAlign w:val="center"/>
          </w:tcPr>
          <w:p w14:paraId="685A4AEE" w14:textId="77777777" w:rsidR="00893351" w:rsidRPr="007C419D" w:rsidRDefault="00893351" w:rsidP="00B31312">
            <w:pPr>
              <w:pStyle w:val="TableParagraph"/>
            </w:pPr>
            <w:r w:rsidRPr="007C419D">
              <w:t>Maintenance $/yr</w:t>
            </w:r>
          </w:p>
        </w:tc>
        <w:tc>
          <w:tcPr>
            <w:tcW w:w="1280" w:type="pct"/>
            <w:vAlign w:val="center"/>
          </w:tcPr>
          <w:p w14:paraId="6AF97E0D" w14:textId="77777777" w:rsidR="00893351" w:rsidRPr="007C419D" w:rsidRDefault="00893351" w:rsidP="00B31312">
            <w:pPr>
              <w:pStyle w:val="TableParagraph"/>
            </w:pPr>
            <w:r w:rsidRPr="007C419D">
              <w:t>420,048</w:t>
            </w:r>
          </w:p>
        </w:tc>
        <w:tc>
          <w:tcPr>
            <w:tcW w:w="1697" w:type="pct"/>
            <w:vAlign w:val="center"/>
          </w:tcPr>
          <w:p w14:paraId="0065A0A7" w14:textId="77777777" w:rsidR="00893351" w:rsidRPr="007C419D" w:rsidRDefault="00893351" w:rsidP="00B31312">
            <w:pPr>
              <w:pStyle w:val="TableParagraph"/>
            </w:pPr>
            <w:r>
              <w:rPr>
                <w:rFonts w:ascii="Calibri" w:hAnsi="Calibri" w:cs="Calibri"/>
                <w:color w:val="000000"/>
              </w:rPr>
              <w:t>46,627</w:t>
            </w:r>
          </w:p>
        </w:tc>
      </w:tr>
      <w:tr w:rsidR="00893351" w:rsidRPr="007C419D" w14:paraId="676FC91A" w14:textId="77777777" w:rsidTr="00B31312">
        <w:trPr>
          <w:trHeight w:val="432"/>
        </w:trPr>
        <w:tc>
          <w:tcPr>
            <w:tcW w:w="2024" w:type="pct"/>
            <w:vAlign w:val="center"/>
          </w:tcPr>
          <w:p w14:paraId="47F19341" w14:textId="77777777" w:rsidR="00893351" w:rsidRPr="007C419D" w:rsidRDefault="00893351" w:rsidP="00B31312">
            <w:pPr>
              <w:pStyle w:val="TableParagraph"/>
            </w:pPr>
            <w:r w:rsidRPr="007C419D">
              <w:t>Reagent $/yr</w:t>
            </w:r>
          </w:p>
        </w:tc>
        <w:tc>
          <w:tcPr>
            <w:tcW w:w="1280" w:type="pct"/>
            <w:vAlign w:val="center"/>
          </w:tcPr>
          <w:p w14:paraId="19AAF6D0" w14:textId="77777777" w:rsidR="00893351" w:rsidRPr="007C419D" w:rsidRDefault="00893351" w:rsidP="00B31312">
            <w:pPr>
              <w:pStyle w:val="TableParagraph"/>
            </w:pPr>
            <w:r w:rsidRPr="007C419D">
              <w:t>284,001</w:t>
            </w:r>
          </w:p>
        </w:tc>
        <w:tc>
          <w:tcPr>
            <w:tcW w:w="1697" w:type="pct"/>
            <w:vAlign w:val="center"/>
          </w:tcPr>
          <w:p w14:paraId="4ECB4701" w14:textId="77777777" w:rsidR="00893351" w:rsidRPr="007C419D" w:rsidRDefault="00893351" w:rsidP="00B31312">
            <w:pPr>
              <w:pStyle w:val="TableParagraph"/>
            </w:pPr>
            <w:r>
              <w:rPr>
                <w:rFonts w:ascii="Calibri" w:hAnsi="Calibri" w:cs="Calibri"/>
                <w:color w:val="000000"/>
              </w:rPr>
              <w:t>51,515</w:t>
            </w:r>
          </w:p>
        </w:tc>
      </w:tr>
      <w:tr w:rsidR="00893351" w:rsidRPr="007C419D" w14:paraId="344391D2" w14:textId="77777777" w:rsidTr="00B31312">
        <w:trPr>
          <w:trHeight w:val="432"/>
        </w:trPr>
        <w:tc>
          <w:tcPr>
            <w:tcW w:w="2024" w:type="pct"/>
            <w:vAlign w:val="center"/>
          </w:tcPr>
          <w:p w14:paraId="4682DF2F" w14:textId="77777777" w:rsidR="00893351" w:rsidRPr="007C419D" w:rsidRDefault="00893351" w:rsidP="00B31312">
            <w:pPr>
              <w:pStyle w:val="TableParagraph"/>
            </w:pPr>
            <w:r w:rsidRPr="007C419D">
              <w:t>Catalyst $/yr</w:t>
            </w:r>
          </w:p>
        </w:tc>
        <w:tc>
          <w:tcPr>
            <w:tcW w:w="1280" w:type="pct"/>
            <w:vAlign w:val="center"/>
          </w:tcPr>
          <w:p w14:paraId="25B8E7C4" w14:textId="77777777" w:rsidR="00893351" w:rsidRPr="007C419D" w:rsidRDefault="00893351" w:rsidP="00B31312">
            <w:pPr>
              <w:pStyle w:val="TableParagraph"/>
            </w:pPr>
            <w:r w:rsidRPr="007C419D">
              <w:t>180,467</w:t>
            </w:r>
          </w:p>
        </w:tc>
        <w:tc>
          <w:tcPr>
            <w:tcW w:w="1697" w:type="pct"/>
            <w:vAlign w:val="center"/>
          </w:tcPr>
          <w:p w14:paraId="41A00DF0" w14:textId="77777777" w:rsidR="00893351" w:rsidRPr="007C419D" w:rsidRDefault="00893351" w:rsidP="00B31312">
            <w:pPr>
              <w:pStyle w:val="TableParagraph"/>
            </w:pPr>
            <w:r>
              <w:rPr>
                <w:rFonts w:ascii="Calibri" w:hAnsi="Calibri" w:cs="Calibri"/>
                <w:color w:val="000000"/>
              </w:rPr>
              <w:t>29,852</w:t>
            </w:r>
          </w:p>
        </w:tc>
      </w:tr>
      <w:tr w:rsidR="00893351" w:rsidRPr="007C419D" w14:paraId="15B84DCB" w14:textId="77777777" w:rsidTr="00B31312">
        <w:trPr>
          <w:trHeight w:val="432"/>
        </w:trPr>
        <w:tc>
          <w:tcPr>
            <w:tcW w:w="2024" w:type="pct"/>
            <w:vAlign w:val="center"/>
          </w:tcPr>
          <w:p w14:paraId="1F3DF2C4" w14:textId="77777777" w:rsidR="00893351" w:rsidRPr="007C419D" w:rsidRDefault="00893351" w:rsidP="00B31312">
            <w:pPr>
              <w:pStyle w:val="TableParagraph"/>
            </w:pPr>
            <w:r w:rsidRPr="007C419D">
              <w:t>Annualized cost $/yr</w:t>
            </w:r>
          </w:p>
        </w:tc>
        <w:tc>
          <w:tcPr>
            <w:tcW w:w="1280" w:type="pct"/>
            <w:vAlign w:val="center"/>
          </w:tcPr>
          <w:p w14:paraId="26971C00" w14:textId="77777777" w:rsidR="00893351" w:rsidRPr="007C419D" w:rsidRDefault="00893351" w:rsidP="00B31312">
            <w:pPr>
              <w:pStyle w:val="TableParagraph"/>
            </w:pPr>
            <w:r w:rsidRPr="007C419D">
              <w:t>7,827,719</w:t>
            </w:r>
          </w:p>
        </w:tc>
        <w:tc>
          <w:tcPr>
            <w:tcW w:w="1697" w:type="pct"/>
            <w:vAlign w:val="center"/>
          </w:tcPr>
          <w:p w14:paraId="0E19FAD4" w14:textId="77777777" w:rsidR="00893351" w:rsidRPr="007C419D" w:rsidRDefault="00893351" w:rsidP="00B31312">
            <w:pPr>
              <w:pStyle w:val="TableParagraph"/>
            </w:pPr>
            <w:r>
              <w:rPr>
                <w:rFonts w:ascii="Calibri" w:hAnsi="Calibri" w:cs="Calibri"/>
                <w:color w:val="000000"/>
              </w:rPr>
              <w:t>871,136</w:t>
            </w:r>
          </w:p>
        </w:tc>
      </w:tr>
      <w:tr w:rsidR="00893351" w:rsidRPr="007C419D" w14:paraId="0426D5CE" w14:textId="77777777" w:rsidTr="00B31312">
        <w:trPr>
          <w:trHeight w:val="432"/>
        </w:trPr>
        <w:tc>
          <w:tcPr>
            <w:tcW w:w="2024" w:type="pct"/>
            <w:vAlign w:val="center"/>
          </w:tcPr>
          <w:p w14:paraId="5A8D0FC1" w14:textId="319361DB" w:rsidR="00893351" w:rsidRPr="007C419D" w:rsidRDefault="00132EBB" w:rsidP="00B31312">
            <w:pPr>
              <w:pStyle w:val="TableParagraph"/>
            </w:pPr>
            <w:r w:rsidRPr="00132EBB">
              <w:t>NO</w:t>
            </w:r>
            <w:r w:rsidRPr="00132EBB">
              <w:rPr>
                <w:vertAlign w:val="subscript"/>
              </w:rPr>
              <w:t>X</w:t>
            </w:r>
            <w:r w:rsidR="00893351" w:rsidRPr="007C419D">
              <w:t xml:space="preserve"> tpy reduced</w:t>
            </w:r>
          </w:p>
        </w:tc>
        <w:tc>
          <w:tcPr>
            <w:tcW w:w="1280" w:type="pct"/>
            <w:vAlign w:val="center"/>
          </w:tcPr>
          <w:p w14:paraId="70A242FD" w14:textId="77777777" w:rsidR="00893351" w:rsidRPr="007C419D" w:rsidRDefault="00893351" w:rsidP="00B31312">
            <w:pPr>
              <w:pStyle w:val="TableParagraph"/>
            </w:pPr>
            <w:r w:rsidRPr="007C419D">
              <w:t>321</w:t>
            </w:r>
          </w:p>
        </w:tc>
        <w:tc>
          <w:tcPr>
            <w:tcW w:w="1697" w:type="pct"/>
            <w:vAlign w:val="center"/>
          </w:tcPr>
          <w:p w14:paraId="1BF0E8FC" w14:textId="77777777" w:rsidR="00893351" w:rsidRPr="007C419D" w:rsidRDefault="00893351" w:rsidP="00B31312">
            <w:pPr>
              <w:pStyle w:val="TableParagraph"/>
            </w:pPr>
            <w:r>
              <w:rPr>
                <w:rFonts w:ascii="Calibri" w:hAnsi="Calibri" w:cs="Calibri"/>
                <w:color w:val="000000"/>
              </w:rPr>
              <w:t xml:space="preserve">425 </w:t>
            </w:r>
          </w:p>
        </w:tc>
      </w:tr>
      <w:tr w:rsidR="00893351" w:rsidRPr="007C419D" w14:paraId="6D916CC5" w14:textId="77777777" w:rsidTr="00B31312">
        <w:trPr>
          <w:trHeight w:val="432"/>
        </w:trPr>
        <w:tc>
          <w:tcPr>
            <w:tcW w:w="2024" w:type="pct"/>
            <w:vAlign w:val="center"/>
          </w:tcPr>
          <w:p w14:paraId="60E4F389" w14:textId="62581D9B" w:rsidR="00893351" w:rsidRPr="007C419D" w:rsidRDefault="00893351" w:rsidP="00B31312">
            <w:pPr>
              <w:pStyle w:val="TableParagraph"/>
            </w:pPr>
            <w:r w:rsidRPr="007C419D">
              <w:t xml:space="preserve">$/ton </w:t>
            </w:r>
            <w:r w:rsidR="00132EBB" w:rsidRPr="00132EBB">
              <w:t>NO</w:t>
            </w:r>
            <w:r w:rsidR="00132EBB" w:rsidRPr="00132EBB">
              <w:rPr>
                <w:vertAlign w:val="subscript"/>
              </w:rPr>
              <w:t>X</w:t>
            </w:r>
            <w:r w:rsidRPr="007C419D">
              <w:t xml:space="preserve"> reduced</w:t>
            </w:r>
          </w:p>
        </w:tc>
        <w:tc>
          <w:tcPr>
            <w:tcW w:w="1280" w:type="pct"/>
            <w:vAlign w:val="center"/>
          </w:tcPr>
          <w:p w14:paraId="4A5FB559" w14:textId="77777777" w:rsidR="00893351" w:rsidRPr="007C419D" w:rsidRDefault="00893351" w:rsidP="00B31312">
            <w:pPr>
              <w:pStyle w:val="TableParagraph"/>
            </w:pPr>
            <w:r w:rsidRPr="007C419D">
              <w:t>24,378</w:t>
            </w:r>
          </w:p>
        </w:tc>
        <w:tc>
          <w:tcPr>
            <w:tcW w:w="1697" w:type="pct"/>
            <w:vAlign w:val="center"/>
          </w:tcPr>
          <w:p w14:paraId="54BCE45B" w14:textId="77777777" w:rsidR="00893351" w:rsidRPr="007C419D" w:rsidRDefault="00893351" w:rsidP="00B31312">
            <w:pPr>
              <w:pStyle w:val="TableParagraph"/>
            </w:pPr>
            <w:r>
              <w:rPr>
                <w:rFonts w:ascii="Calibri" w:hAnsi="Calibri" w:cs="Calibri"/>
                <w:color w:val="000000"/>
              </w:rPr>
              <w:t>2,051</w:t>
            </w:r>
          </w:p>
        </w:tc>
      </w:tr>
    </w:tbl>
    <w:p w14:paraId="7F06A91D" w14:textId="2E2A6A43" w:rsidR="00893351" w:rsidRPr="007C419D" w:rsidRDefault="00D21B68" w:rsidP="00B71595">
      <w:pPr>
        <w:pStyle w:val="Paragraph"/>
        <w:rPr>
          <w:i/>
        </w:rPr>
      </w:pPr>
      <w:r>
        <w:t>T</w:t>
      </w:r>
      <w:r w:rsidR="00893351" w:rsidRPr="007C419D">
        <w:t xml:space="preserve">he EPA </w:t>
      </w:r>
      <w:r w:rsidR="00D679B8">
        <w:t>Control Cost Manual</w:t>
      </w:r>
      <w:r w:rsidR="00D679B8" w:rsidRPr="007C419D">
        <w:t xml:space="preserve"> </w:t>
      </w:r>
      <w:r w:rsidR="00893351" w:rsidRPr="007C419D">
        <w:t>uses current cost with 90</w:t>
      </w:r>
      <w:r w:rsidR="00B07D39">
        <w:t xml:space="preserve">% </w:t>
      </w:r>
      <w:r w:rsidR="00893351" w:rsidRPr="007C419D">
        <w:t>controls.</w:t>
      </w:r>
      <w:r w:rsidR="0067717B">
        <w:t xml:space="preserve"> </w:t>
      </w:r>
      <w:r w:rsidR="00D679B8">
        <w:t>Ramboll</w:t>
      </w:r>
      <w:r w:rsidR="00893351" w:rsidRPr="007C419D">
        <w:t xml:space="preserve"> did not supply the cost data they used to scale their cost data.</w:t>
      </w:r>
    </w:p>
    <w:p w14:paraId="41B3CB57" w14:textId="6B3CB857" w:rsidR="00893351" w:rsidRPr="00D679B8" w:rsidRDefault="0040491F" w:rsidP="0040491F">
      <w:pPr>
        <w:pStyle w:val="Heading7"/>
        <w:rPr>
          <w:i w:val="0"/>
        </w:rPr>
      </w:pPr>
      <w:bookmarkStart w:id="183" w:name="_Toc51673408"/>
      <w:r>
        <w:lastRenderedPageBreak/>
        <w:t>Two Reforming Furnace</w:t>
      </w:r>
      <w:r w:rsidR="00893351">
        <w:t xml:space="preserve"> #1 (</w:t>
      </w:r>
      <w:r w:rsidR="00893351" w:rsidRPr="009620B7">
        <w:t>H2 PLANT)</w:t>
      </w:r>
      <w:bookmarkEnd w:id="183"/>
    </w:p>
    <w:p w14:paraId="5A1FFE38" w14:textId="6987F4B2" w:rsidR="0040491F" w:rsidRDefault="00D679B8" w:rsidP="0040491F">
      <w:pPr>
        <w:pStyle w:val="Paragraph"/>
      </w:pPr>
      <w:r>
        <w:t xml:space="preserve">Ramboll </w:t>
      </w:r>
      <w:r w:rsidR="00893351" w:rsidRPr="009620B7">
        <w:t>supplied a table with the limited backup information.</w:t>
      </w:r>
      <w:r w:rsidR="0067717B">
        <w:t xml:space="preserve"> </w:t>
      </w:r>
      <w:r w:rsidR="00893351" w:rsidRPr="009620B7">
        <w:t>Ecology found the following discrepancies that inflated the cost for the retrofit.</w:t>
      </w:r>
    </w:p>
    <w:p w14:paraId="18687DE4" w14:textId="1FE1029E" w:rsidR="0040491F" w:rsidRDefault="0040491F" w:rsidP="00E51452">
      <w:pPr>
        <w:pStyle w:val="Caption"/>
        <w:keepNext/>
        <w:spacing w:after="0"/>
      </w:pPr>
      <w:bookmarkStart w:id="184" w:name="_Toc51675382"/>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11</w:t>
      </w:r>
      <w:r w:rsidR="00F45623">
        <w:rPr>
          <w:noProof/>
        </w:rPr>
        <w:fldChar w:fldCharType="end"/>
      </w:r>
      <w:r>
        <w:t xml:space="preserve">: </w:t>
      </w:r>
      <w:r w:rsidR="00E51452">
        <w:t>Two r</w:t>
      </w:r>
      <w:r w:rsidRPr="00FE11BC">
        <w:t xml:space="preserve">eforming </w:t>
      </w:r>
      <w:r w:rsidR="00E51452">
        <w:t>f</w:t>
      </w:r>
      <w:r w:rsidRPr="00FE11BC">
        <w:t>urnace #1</w:t>
      </w:r>
      <w:r w:rsidR="00E51452">
        <w:t xml:space="preserve"> (H2 Plant) c</w:t>
      </w:r>
      <w:r w:rsidRPr="00FE11BC">
        <w:t xml:space="preserve">ost </w:t>
      </w:r>
      <w:r w:rsidR="00E51452">
        <w:t>c</w:t>
      </w:r>
      <w:r w:rsidRPr="00FE11BC">
        <w:t>omparison</w:t>
      </w:r>
      <w:bookmarkEnd w:id="184"/>
    </w:p>
    <w:tbl>
      <w:tblPr>
        <w:tblStyle w:val="TableGrid"/>
        <w:tblW w:w="5000" w:type="pct"/>
        <w:tblLook w:val="04A0" w:firstRow="1" w:lastRow="0" w:firstColumn="1" w:lastColumn="0" w:noHBand="0" w:noVBand="1"/>
      </w:tblPr>
      <w:tblGrid>
        <w:gridCol w:w="3750"/>
        <w:gridCol w:w="2457"/>
        <w:gridCol w:w="3143"/>
      </w:tblGrid>
      <w:tr w:rsidR="00893351" w:rsidRPr="00C45E6E" w14:paraId="7F169FD5" w14:textId="77777777" w:rsidTr="0040491F">
        <w:trPr>
          <w:trHeight w:val="432"/>
          <w:tblHeader/>
        </w:trPr>
        <w:tc>
          <w:tcPr>
            <w:tcW w:w="2005" w:type="pct"/>
            <w:vAlign w:val="center"/>
          </w:tcPr>
          <w:p w14:paraId="2AF2071B" w14:textId="77777777" w:rsidR="00893351" w:rsidRPr="001E7045" w:rsidRDefault="00893351" w:rsidP="0040491F">
            <w:pPr>
              <w:pStyle w:val="TableParagraph"/>
              <w:rPr>
                <w:b/>
              </w:rPr>
            </w:pPr>
          </w:p>
        </w:tc>
        <w:tc>
          <w:tcPr>
            <w:tcW w:w="1314" w:type="pct"/>
            <w:vAlign w:val="center"/>
          </w:tcPr>
          <w:p w14:paraId="22076EDA" w14:textId="44456FE8" w:rsidR="00893351" w:rsidRPr="001E7045" w:rsidRDefault="009E6F97" w:rsidP="0040491F">
            <w:pPr>
              <w:pStyle w:val="TableParagraph"/>
              <w:rPr>
                <w:b/>
              </w:rPr>
            </w:pPr>
            <w:r w:rsidRPr="001E7045">
              <w:rPr>
                <w:b/>
              </w:rPr>
              <w:t>Ramboll</w:t>
            </w:r>
          </w:p>
        </w:tc>
        <w:tc>
          <w:tcPr>
            <w:tcW w:w="1681" w:type="pct"/>
            <w:vAlign w:val="center"/>
          </w:tcPr>
          <w:p w14:paraId="12346515" w14:textId="59187BB1" w:rsidR="00893351" w:rsidRPr="001E7045" w:rsidRDefault="00893351" w:rsidP="0040491F">
            <w:pPr>
              <w:pStyle w:val="TableParagraph"/>
              <w:rPr>
                <w:b/>
              </w:rPr>
            </w:pPr>
            <w:r w:rsidRPr="001E7045">
              <w:rPr>
                <w:b/>
              </w:rPr>
              <w:t xml:space="preserve">Ecology – </w:t>
            </w:r>
            <w:r w:rsidRPr="001E7045">
              <w:rPr>
                <w:b/>
              </w:rPr>
              <w:br/>
              <w:t xml:space="preserve">EPA </w:t>
            </w:r>
            <w:r w:rsidR="00E35B04" w:rsidRPr="001E7045">
              <w:rPr>
                <w:b/>
              </w:rPr>
              <w:t>Control Cost Manual</w:t>
            </w:r>
          </w:p>
        </w:tc>
      </w:tr>
      <w:tr w:rsidR="00893351" w:rsidRPr="00C45E6E" w14:paraId="4E5FE4C0" w14:textId="77777777" w:rsidTr="0040491F">
        <w:trPr>
          <w:trHeight w:val="432"/>
        </w:trPr>
        <w:tc>
          <w:tcPr>
            <w:tcW w:w="2005" w:type="pct"/>
            <w:vAlign w:val="center"/>
          </w:tcPr>
          <w:p w14:paraId="21FE99FA" w14:textId="77777777" w:rsidR="00893351" w:rsidRPr="001E7045" w:rsidRDefault="00893351" w:rsidP="0040491F">
            <w:pPr>
              <w:pStyle w:val="TableParagraph"/>
            </w:pPr>
            <w:r w:rsidRPr="001E7045">
              <w:t>Capital cost $</w:t>
            </w:r>
          </w:p>
        </w:tc>
        <w:tc>
          <w:tcPr>
            <w:tcW w:w="1314" w:type="pct"/>
            <w:vAlign w:val="center"/>
          </w:tcPr>
          <w:p w14:paraId="3F65DF5E" w14:textId="77777777" w:rsidR="00893351" w:rsidRPr="001E7045" w:rsidRDefault="00893351" w:rsidP="0040491F">
            <w:pPr>
              <w:pStyle w:val="TableParagraph"/>
            </w:pPr>
            <w:r w:rsidRPr="001E7045">
              <w:t>143,325,183</w:t>
            </w:r>
          </w:p>
        </w:tc>
        <w:tc>
          <w:tcPr>
            <w:tcW w:w="1681" w:type="pct"/>
            <w:vAlign w:val="center"/>
          </w:tcPr>
          <w:p w14:paraId="4236E0EE" w14:textId="77777777" w:rsidR="00893351" w:rsidRPr="001E7045" w:rsidRDefault="00893351" w:rsidP="0040491F">
            <w:pPr>
              <w:pStyle w:val="TableParagraph"/>
            </w:pPr>
            <w:r w:rsidRPr="001E7045">
              <w:rPr>
                <w:color w:val="000000"/>
              </w:rPr>
              <w:t>9,325,358</w:t>
            </w:r>
          </w:p>
        </w:tc>
      </w:tr>
      <w:tr w:rsidR="00893351" w:rsidRPr="00C45E6E" w14:paraId="415DB8C6" w14:textId="77777777" w:rsidTr="0040491F">
        <w:trPr>
          <w:trHeight w:val="432"/>
        </w:trPr>
        <w:tc>
          <w:tcPr>
            <w:tcW w:w="2005" w:type="pct"/>
            <w:vAlign w:val="center"/>
          </w:tcPr>
          <w:p w14:paraId="4FD76EDE" w14:textId="77777777" w:rsidR="00893351" w:rsidRPr="001E7045" w:rsidRDefault="00893351" w:rsidP="0040491F">
            <w:pPr>
              <w:pStyle w:val="TableParagraph"/>
            </w:pPr>
            <w:r w:rsidRPr="001E7045">
              <w:t>Maintenance $/yr</w:t>
            </w:r>
          </w:p>
        </w:tc>
        <w:tc>
          <w:tcPr>
            <w:tcW w:w="1314" w:type="pct"/>
            <w:vAlign w:val="center"/>
          </w:tcPr>
          <w:p w14:paraId="16C521AD" w14:textId="77777777" w:rsidR="00893351" w:rsidRPr="001E7045" w:rsidRDefault="00893351" w:rsidP="0040491F">
            <w:pPr>
              <w:pStyle w:val="TableParagraph"/>
            </w:pPr>
            <w:r w:rsidRPr="001E7045">
              <w:t>479,126</w:t>
            </w:r>
          </w:p>
        </w:tc>
        <w:tc>
          <w:tcPr>
            <w:tcW w:w="1681" w:type="pct"/>
            <w:vAlign w:val="center"/>
          </w:tcPr>
          <w:p w14:paraId="23A9BA53" w14:textId="77777777" w:rsidR="00893351" w:rsidRPr="001E7045" w:rsidRDefault="00893351" w:rsidP="0040491F">
            <w:pPr>
              <w:pStyle w:val="TableParagraph"/>
            </w:pPr>
            <w:r w:rsidRPr="001E7045">
              <w:rPr>
                <w:color w:val="000000"/>
              </w:rPr>
              <w:t xml:space="preserve">46,627 </w:t>
            </w:r>
          </w:p>
        </w:tc>
      </w:tr>
      <w:tr w:rsidR="00893351" w:rsidRPr="00C45E6E" w14:paraId="64ECB3A3" w14:textId="77777777" w:rsidTr="0040491F">
        <w:trPr>
          <w:trHeight w:val="432"/>
        </w:trPr>
        <w:tc>
          <w:tcPr>
            <w:tcW w:w="2005" w:type="pct"/>
            <w:vAlign w:val="center"/>
          </w:tcPr>
          <w:p w14:paraId="43866DBB" w14:textId="77777777" w:rsidR="00893351" w:rsidRPr="001E7045" w:rsidRDefault="00893351" w:rsidP="0040491F">
            <w:pPr>
              <w:pStyle w:val="TableParagraph"/>
            </w:pPr>
            <w:r w:rsidRPr="001E7045">
              <w:t>Reagent $/yr</w:t>
            </w:r>
          </w:p>
        </w:tc>
        <w:tc>
          <w:tcPr>
            <w:tcW w:w="1314" w:type="pct"/>
            <w:vAlign w:val="center"/>
          </w:tcPr>
          <w:p w14:paraId="172C64B2" w14:textId="77777777" w:rsidR="00893351" w:rsidRPr="001E7045" w:rsidRDefault="00893351" w:rsidP="0040491F">
            <w:pPr>
              <w:pStyle w:val="TableParagraph"/>
            </w:pPr>
            <w:r w:rsidRPr="001E7045">
              <w:t>125,031</w:t>
            </w:r>
          </w:p>
        </w:tc>
        <w:tc>
          <w:tcPr>
            <w:tcW w:w="1681" w:type="pct"/>
            <w:vAlign w:val="center"/>
          </w:tcPr>
          <w:p w14:paraId="1D1FB843" w14:textId="77777777" w:rsidR="00893351" w:rsidRPr="001E7045" w:rsidRDefault="00893351" w:rsidP="0040491F">
            <w:pPr>
              <w:pStyle w:val="TableParagraph"/>
            </w:pPr>
            <w:r w:rsidRPr="001E7045">
              <w:rPr>
                <w:color w:val="000000"/>
              </w:rPr>
              <w:t>51,515</w:t>
            </w:r>
          </w:p>
        </w:tc>
      </w:tr>
      <w:tr w:rsidR="00893351" w:rsidRPr="00C45E6E" w14:paraId="3E708A30" w14:textId="77777777" w:rsidTr="0040491F">
        <w:trPr>
          <w:trHeight w:val="432"/>
        </w:trPr>
        <w:tc>
          <w:tcPr>
            <w:tcW w:w="2005" w:type="pct"/>
            <w:vAlign w:val="center"/>
          </w:tcPr>
          <w:p w14:paraId="67B45120" w14:textId="77777777" w:rsidR="00893351" w:rsidRPr="001E7045" w:rsidRDefault="00893351" w:rsidP="0040491F">
            <w:pPr>
              <w:pStyle w:val="TableParagraph"/>
            </w:pPr>
            <w:r w:rsidRPr="001E7045">
              <w:t>Catalyst $/yr</w:t>
            </w:r>
          </w:p>
        </w:tc>
        <w:tc>
          <w:tcPr>
            <w:tcW w:w="1314" w:type="pct"/>
            <w:vAlign w:val="center"/>
          </w:tcPr>
          <w:p w14:paraId="0B991B75" w14:textId="77777777" w:rsidR="00893351" w:rsidRPr="001E7045" w:rsidRDefault="00893351" w:rsidP="0040491F">
            <w:pPr>
              <w:pStyle w:val="TableParagraph"/>
            </w:pPr>
            <w:r w:rsidRPr="001E7045">
              <w:t>65,513</w:t>
            </w:r>
          </w:p>
        </w:tc>
        <w:tc>
          <w:tcPr>
            <w:tcW w:w="1681" w:type="pct"/>
            <w:vAlign w:val="center"/>
          </w:tcPr>
          <w:p w14:paraId="0BBF2163" w14:textId="77777777" w:rsidR="00893351" w:rsidRPr="001E7045" w:rsidRDefault="00893351" w:rsidP="0040491F">
            <w:pPr>
              <w:pStyle w:val="TableParagraph"/>
            </w:pPr>
            <w:r w:rsidRPr="001E7045">
              <w:rPr>
                <w:color w:val="000000"/>
              </w:rPr>
              <w:t xml:space="preserve">29,852 </w:t>
            </w:r>
          </w:p>
        </w:tc>
      </w:tr>
      <w:tr w:rsidR="00893351" w:rsidRPr="00C45E6E" w14:paraId="4A567859" w14:textId="77777777" w:rsidTr="0040491F">
        <w:trPr>
          <w:trHeight w:val="432"/>
        </w:trPr>
        <w:tc>
          <w:tcPr>
            <w:tcW w:w="2005" w:type="pct"/>
            <w:vAlign w:val="center"/>
          </w:tcPr>
          <w:p w14:paraId="7E722841" w14:textId="77777777" w:rsidR="00893351" w:rsidRPr="001E7045" w:rsidRDefault="00893351" w:rsidP="0040491F">
            <w:pPr>
              <w:pStyle w:val="TableParagraph"/>
            </w:pPr>
            <w:r w:rsidRPr="001E7045">
              <w:t>Annualized cost $/yr</w:t>
            </w:r>
          </w:p>
        </w:tc>
        <w:tc>
          <w:tcPr>
            <w:tcW w:w="1314" w:type="pct"/>
            <w:vAlign w:val="center"/>
          </w:tcPr>
          <w:p w14:paraId="7C7F3720" w14:textId="77777777" w:rsidR="00893351" w:rsidRPr="001E7045" w:rsidRDefault="00893351" w:rsidP="0040491F">
            <w:pPr>
              <w:pStyle w:val="TableParagraph"/>
            </w:pPr>
            <w:r w:rsidRPr="001E7045">
              <w:t>11,038,382</w:t>
            </w:r>
          </w:p>
        </w:tc>
        <w:tc>
          <w:tcPr>
            <w:tcW w:w="1681" w:type="pct"/>
            <w:vAlign w:val="center"/>
          </w:tcPr>
          <w:p w14:paraId="3772CE05" w14:textId="77777777" w:rsidR="00893351" w:rsidRPr="001E7045" w:rsidRDefault="00893351" w:rsidP="0040491F">
            <w:pPr>
              <w:pStyle w:val="TableParagraph"/>
            </w:pPr>
            <w:r w:rsidRPr="001E7045">
              <w:rPr>
                <w:color w:val="000000"/>
              </w:rPr>
              <w:t>871,136</w:t>
            </w:r>
          </w:p>
        </w:tc>
      </w:tr>
      <w:tr w:rsidR="00893351" w:rsidRPr="00C45E6E" w14:paraId="21B68588" w14:textId="77777777" w:rsidTr="0040491F">
        <w:trPr>
          <w:trHeight w:val="432"/>
        </w:trPr>
        <w:tc>
          <w:tcPr>
            <w:tcW w:w="2005" w:type="pct"/>
            <w:vAlign w:val="center"/>
          </w:tcPr>
          <w:p w14:paraId="7253C2B3" w14:textId="77777777" w:rsidR="00893351" w:rsidRPr="001E7045" w:rsidRDefault="00893351" w:rsidP="0040491F">
            <w:pPr>
              <w:pStyle w:val="TableParagraph"/>
            </w:pPr>
            <w:r w:rsidRPr="001E7045">
              <w:t>NOx tpy reduced</w:t>
            </w:r>
          </w:p>
        </w:tc>
        <w:tc>
          <w:tcPr>
            <w:tcW w:w="1314" w:type="pct"/>
            <w:vAlign w:val="center"/>
          </w:tcPr>
          <w:p w14:paraId="12613B1A" w14:textId="77777777" w:rsidR="00893351" w:rsidRPr="001E7045" w:rsidRDefault="00893351" w:rsidP="0040491F">
            <w:pPr>
              <w:pStyle w:val="TableParagraph"/>
            </w:pPr>
            <w:r w:rsidRPr="001E7045">
              <w:t>141</w:t>
            </w:r>
          </w:p>
        </w:tc>
        <w:tc>
          <w:tcPr>
            <w:tcW w:w="1681" w:type="pct"/>
            <w:vAlign w:val="center"/>
          </w:tcPr>
          <w:p w14:paraId="3725017A" w14:textId="77777777" w:rsidR="00893351" w:rsidRPr="001E7045" w:rsidRDefault="00893351" w:rsidP="0040491F">
            <w:pPr>
              <w:pStyle w:val="TableParagraph"/>
            </w:pPr>
            <w:r w:rsidRPr="001E7045">
              <w:t>141</w:t>
            </w:r>
          </w:p>
        </w:tc>
      </w:tr>
      <w:tr w:rsidR="00893351" w:rsidRPr="00C45E6E" w14:paraId="1888E047" w14:textId="77777777" w:rsidTr="0040491F">
        <w:trPr>
          <w:trHeight w:val="432"/>
        </w:trPr>
        <w:tc>
          <w:tcPr>
            <w:tcW w:w="2005" w:type="pct"/>
            <w:vAlign w:val="center"/>
          </w:tcPr>
          <w:p w14:paraId="722D6E92" w14:textId="77777777" w:rsidR="00893351" w:rsidRPr="001E7045" w:rsidRDefault="00893351" w:rsidP="0040491F">
            <w:pPr>
              <w:pStyle w:val="TableParagraph"/>
            </w:pPr>
            <w:r w:rsidRPr="001E7045">
              <w:t>$/ton NOx reduced</w:t>
            </w:r>
          </w:p>
        </w:tc>
        <w:tc>
          <w:tcPr>
            <w:tcW w:w="1314" w:type="pct"/>
            <w:vAlign w:val="center"/>
          </w:tcPr>
          <w:p w14:paraId="53F7D1C5" w14:textId="77777777" w:rsidR="00893351" w:rsidRPr="001E7045" w:rsidRDefault="00893351" w:rsidP="0040491F">
            <w:pPr>
              <w:pStyle w:val="TableParagraph"/>
            </w:pPr>
            <w:r w:rsidRPr="001E7045">
              <w:t>78,065</w:t>
            </w:r>
          </w:p>
        </w:tc>
        <w:tc>
          <w:tcPr>
            <w:tcW w:w="1681" w:type="pct"/>
            <w:vAlign w:val="center"/>
          </w:tcPr>
          <w:p w14:paraId="653760C9" w14:textId="77777777" w:rsidR="00893351" w:rsidRPr="001E7045" w:rsidRDefault="00893351" w:rsidP="0040491F">
            <w:pPr>
              <w:pStyle w:val="TableParagraph"/>
            </w:pPr>
            <w:r w:rsidRPr="001E7045">
              <w:rPr>
                <w:color w:val="000000"/>
              </w:rPr>
              <w:t>6,161</w:t>
            </w:r>
          </w:p>
        </w:tc>
      </w:tr>
    </w:tbl>
    <w:p w14:paraId="5610D4CA" w14:textId="200602F4" w:rsidR="00893351" w:rsidRPr="002940FD" w:rsidRDefault="002246F7" w:rsidP="009D3F1E">
      <w:pPr>
        <w:pStyle w:val="Paragraph"/>
      </w:pPr>
      <w:r>
        <w:t>T</w:t>
      </w:r>
      <w:r w:rsidR="00893351" w:rsidRPr="00C45E6E">
        <w:t xml:space="preserve">he EPA </w:t>
      </w:r>
      <w:r w:rsidR="00E35B04">
        <w:t>Control Cost Manual</w:t>
      </w:r>
      <w:r w:rsidR="00893351" w:rsidRPr="00C45E6E">
        <w:t xml:space="preserve"> uses current cost with 90</w:t>
      </w:r>
      <w:r w:rsidR="00B07D39">
        <w:t xml:space="preserve">% </w:t>
      </w:r>
      <w:r w:rsidR="00893351" w:rsidRPr="00C45E6E">
        <w:t>controls.</w:t>
      </w:r>
      <w:r w:rsidR="0067717B">
        <w:t xml:space="preserve"> </w:t>
      </w:r>
      <w:r w:rsidR="00893351" w:rsidRPr="00C45E6E">
        <w:t>Ramboll did not supply the cost data they used to scale their cost data.</w:t>
      </w:r>
    </w:p>
    <w:p w14:paraId="0E1C5BF9" w14:textId="349D0FE3" w:rsidR="00893351" w:rsidRDefault="00893351" w:rsidP="00E35B04">
      <w:pPr>
        <w:pStyle w:val="Heading5"/>
      </w:pPr>
      <w:bookmarkStart w:id="185" w:name="_Toc51673409"/>
      <w:bookmarkStart w:id="186" w:name="_Toc51674436"/>
      <w:r>
        <w:t>Summary</w:t>
      </w:r>
      <w:r w:rsidR="009E6F97">
        <w:t xml:space="preserve"> and preliminary r</w:t>
      </w:r>
      <w:r w:rsidR="00BB6847">
        <w:t>ecommendations</w:t>
      </w:r>
      <w:bookmarkEnd w:id="185"/>
      <w:bookmarkEnd w:id="186"/>
    </w:p>
    <w:p w14:paraId="710127D6" w14:textId="3B106A3C" w:rsidR="00893351" w:rsidRDefault="00893351" w:rsidP="009D3F1E">
      <w:pPr>
        <w:pStyle w:val="Paragraph"/>
      </w:pPr>
      <w:r>
        <w:t xml:space="preserve">Ecology’s review indicates that additional controls are cost-effective and therefore </w:t>
      </w:r>
      <w:r w:rsidR="005662B2">
        <w:t xml:space="preserve">recommends </w:t>
      </w:r>
      <w:r>
        <w:t xml:space="preserve">RACT rule development. </w:t>
      </w:r>
      <w:r w:rsidR="00D679B8">
        <w:t>Ramboll</w:t>
      </w:r>
      <w:r>
        <w:t xml:space="preserve">’s </w:t>
      </w:r>
      <w:r w:rsidR="00D679B8">
        <w:t>cost estimates are</w:t>
      </w:r>
      <w:r>
        <w:t xml:space="preserve"> inflated and Ecology cannot </w:t>
      </w:r>
      <w:r w:rsidR="00B46CDB">
        <w:t>reconcile</w:t>
      </w:r>
      <w:r>
        <w:t xml:space="preserve"> the values presented by BP Cherry Point. </w:t>
      </w:r>
    </w:p>
    <w:p w14:paraId="67EBE2B6" w14:textId="73BACCCC" w:rsidR="00BB6847" w:rsidRDefault="00BB6847" w:rsidP="00B71595">
      <w:pPr>
        <w:pStyle w:val="Paragraph"/>
      </w:pPr>
      <w:r>
        <w:t xml:space="preserve">Ecology’s </w:t>
      </w:r>
      <w:r w:rsidR="003D362E">
        <w:t xml:space="preserve">Four Factor review has determined the following: </w:t>
      </w:r>
    </w:p>
    <w:p w14:paraId="49289AB6" w14:textId="5EAE8331" w:rsidR="00893351" w:rsidRPr="001F03B3" w:rsidRDefault="00893351" w:rsidP="00B71595">
      <w:pPr>
        <w:pStyle w:val="Paragraph"/>
      </w:pPr>
      <w:r w:rsidRPr="00C45E6E">
        <w:t>Factor #1 – The costs of compliance</w:t>
      </w:r>
    </w:p>
    <w:p w14:paraId="35C40EA9" w14:textId="77777777" w:rsidR="00893351" w:rsidRPr="00370E19" w:rsidRDefault="00893351" w:rsidP="00B71595">
      <w:pPr>
        <w:pStyle w:val="Paragraph"/>
        <w:ind w:left="720"/>
      </w:pPr>
      <w:r w:rsidRPr="00150BED">
        <w:t>$2,</w:t>
      </w:r>
      <w:r w:rsidRPr="00854163">
        <w:t>100</w:t>
      </w:r>
      <w:r w:rsidRPr="00150BED">
        <w:t>/ton to $</w:t>
      </w:r>
      <w:r w:rsidRPr="00854163">
        <w:t>6</w:t>
      </w:r>
      <w:r w:rsidRPr="00150BED">
        <w:t>,</w:t>
      </w:r>
      <w:r w:rsidRPr="00854163">
        <w:t>200</w:t>
      </w:r>
      <w:r w:rsidRPr="00150BED">
        <w:t>/ton</w:t>
      </w:r>
    </w:p>
    <w:p w14:paraId="3D733B5E" w14:textId="71930123" w:rsidR="00893351" w:rsidRPr="00370E19" w:rsidRDefault="00893351" w:rsidP="00B71595">
      <w:pPr>
        <w:pStyle w:val="Paragraph"/>
      </w:pPr>
      <w:r w:rsidRPr="00C45E6E">
        <w:t>Factor #2 – The time necessary for compliance</w:t>
      </w:r>
      <w:r w:rsidR="00370E19">
        <w:t>.</w:t>
      </w:r>
    </w:p>
    <w:p w14:paraId="08B9540D" w14:textId="27F9F386" w:rsidR="00893351" w:rsidRPr="00C45E6E" w:rsidRDefault="00893351" w:rsidP="00B71595">
      <w:pPr>
        <w:pStyle w:val="Paragraph"/>
        <w:ind w:left="720"/>
      </w:pPr>
      <w:r>
        <w:t>E</w:t>
      </w:r>
      <w:r w:rsidRPr="00C45E6E">
        <w:t>cology will accommodate the time necessary for design</w:t>
      </w:r>
      <w:r w:rsidR="002246F7">
        <w:t>,</w:t>
      </w:r>
      <w:r w:rsidRPr="00C45E6E">
        <w:t xml:space="preserve"> and installation of the equipment</w:t>
      </w:r>
      <w:r w:rsidR="002246F7">
        <w:t xml:space="preserve"> during</w:t>
      </w:r>
      <w:r w:rsidR="0067717B">
        <w:t xml:space="preserve"> </w:t>
      </w:r>
      <w:r w:rsidR="002246F7">
        <w:t>a planned shutdown to occur in a reasonable amount of time</w:t>
      </w:r>
      <w:r w:rsidRPr="00C45E6E">
        <w:t>.</w:t>
      </w:r>
    </w:p>
    <w:p w14:paraId="48DA3477" w14:textId="77777777" w:rsidR="00893351" w:rsidRPr="00C45E6E" w:rsidRDefault="00893351" w:rsidP="00B71595">
      <w:pPr>
        <w:pStyle w:val="Paragraph"/>
        <w:rPr>
          <w:i/>
        </w:rPr>
      </w:pPr>
      <w:r w:rsidRPr="00C45E6E">
        <w:t>Factor #3 – The energy and non-air quality environmental impacts of compliance</w:t>
      </w:r>
    </w:p>
    <w:p w14:paraId="761B867B" w14:textId="77777777" w:rsidR="00893351" w:rsidRPr="00C45E6E" w:rsidRDefault="00893351" w:rsidP="00B71595">
      <w:pPr>
        <w:pStyle w:val="Paragraph"/>
      </w:pPr>
      <w:r w:rsidRPr="00C45E6E">
        <w:tab/>
        <w:t>The power needed to drive the exhaust fans is included in the analysis.</w:t>
      </w:r>
    </w:p>
    <w:p w14:paraId="190300F1" w14:textId="77777777" w:rsidR="00893351" w:rsidRDefault="00893351" w:rsidP="00B71595">
      <w:pPr>
        <w:pStyle w:val="Paragraph"/>
        <w:rPr>
          <w:i/>
        </w:rPr>
      </w:pPr>
      <w:r w:rsidRPr="00C45E6E">
        <w:t>Factor #4 – The remaining useful life on existing sou</w:t>
      </w:r>
      <w:r>
        <w:t>rce subject to such requirement</w:t>
      </w:r>
    </w:p>
    <w:p w14:paraId="2347D287" w14:textId="77777777" w:rsidR="00893351" w:rsidRPr="00C45E6E" w:rsidRDefault="00893351" w:rsidP="00B71595">
      <w:pPr>
        <w:pStyle w:val="Paragraph"/>
        <w:ind w:left="720"/>
        <w:rPr>
          <w:i/>
        </w:rPr>
      </w:pPr>
      <w:r w:rsidRPr="00C45E6E">
        <w:t>BP Cherry Point did not indicate that any of the equipment had a limited lifetime</w:t>
      </w:r>
    </w:p>
    <w:p w14:paraId="156448A2" w14:textId="77777777" w:rsidR="00893351" w:rsidRPr="001F03B3" w:rsidRDefault="00893351" w:rsidP="00B71595">
      <w:pPr>
        <w:pStyle w:val="Paragraph"/>
      </w:pPr>
      <w:r w:rsidRPr="00C45E6E">
        <w:t>Future rule development will follow the RACT process.</w:t>
      </w:r>
    </w:p>
    <w:p w14:paraId="009D0CCC" w14:textId="068D671C" w:rsidR="00893351" w:rsidRDefault="003465E0" w:rsidP="00B71595">
      <w:pPr>
        <w:pStyle w:val="Heading5"/>
        <w:rPr>
          <w:i/>
        </w:rPr>
      </w:pPr>
      <w:bookmarkStart w:id="187" w:name="_Toc49523852"/>
      <w:bookmarkStart w:id="188" w:name="_Toc49863880"/>
      <w:bookmarkStart w:id="189" w:name="_Toc51673410"/>
      <w:bookmarkStart w:id="190" w:name="_Toc51674437"/>
      <w:r>
        <w:lastRenderedPageBreak/>
        <w:t>Phillips</w:t>
      </w:r>
      <w:r w:rsidR="00893351" w:rsidRPr="008A47BE">
        <w:t xml:space="preserve"> 66</w:t>
      </w:r>
      <w:bookmarkEnd w:id="187"/>
      <w:bookmarkEnd w:id="188"/>
      <w:bookmarkEnd w:id="189"/>
      <w:bookmarkEnd w:id="190"/>
    </w:p>
    <w:p w14:paraId="41EE3085" w14:textId="0AA7843C" w:rsidR="00893351" w:rsidRDefault="00893351" w:rsidP="0040662F">
      <w:pPr>
        <w:pStyle w:val="Paragraph"/>
      </w:pPr>
      <w:r w:rsidRPr="005A6891">
        <w:t>The</w:t>
      </w:r>
      <w:r w:rsidRPr="005A6891" w:rsidDel="00BB6847">
        <w:t xml:space="preserve"> </w:t>
      </w:r>
      <w:r w:rsidR="00BB6847">
        <w:t>Phillips 66 refinery</w:t>
      </w:r>
      <w:r w:rsidR="00BB6847" w:rsidRPr="005A6891">
        <w:t xml:space="preserve"> </w:t>
      </w:r>
      <w:r w:rsidRPr="005A6891">
        <w:t>has an average annual processing rate of approximately 1</w:t>
      </w:r>
      <w:r>
        <w:t>08,</w:t>
      </w:r>
      <w:r w:rsidRPr="005A6891">
        <w:t xml:space="preserve">000 barrels of crude oil per day. </w:t>
      </w:r>
      <w:r w:rsidR="00BB6847">
        <w:t xml:space="preserve">Located outside of </w:t>
      </w:r>
      <w:r>
        <w:t xml:space="preserve">Ferndale </w:t>
      </w:r>
      <w:r w:rsidR="00BB6847">
        <w:t xml:space="preserve">in Whatcom County, this </w:t>
      </w:r>
      <w:r>
        <w:t>petroleum refinery uses crude oil as a feedstock that is processed into a variety of petroleum products including gasoline, diesel, fuel oil, liquefied petroleum gas (LPG), and butane.</w:t>
      </w:r>
      <w:r w:rsidR="0067717B">
        <w:t xml:space="preserve"> </w:t>
      </w:r>
      <w:r>
        <w:t>The refinery receives crude oil via marine vess</w:t>
      </w:r>
      <w:r w:rsidR="00832B9F">
        <w:t>els, railcars, and by pipeline.</w:t>
      </w:r>
      <w:r w:rsidR="0040662F">
        <w:rPr>
          <w:rStyle w:val="FootnoteReference"/>
        </w:rPr>
        <w:footnoteReference w:id="28"/>
      </w:r>
      <w:r w:rsidR="00111002">
        <w:t xml:space="preserve"> </w:t>
      </w:r>
    </w:p>
    <w:p w14:paraId="69C83AA0" w14:textId="77777777" w:rsidR="00893351" w:rsidRDefault="00893351" w:rsidP="00E866B2">
      <w:pPr>
        <w:pStyle w:val="Heading6"/>
      </w:pPr>
      <w:bookmarkStart w:id="191" w:name="_Toc49523853"/>
      <w:bookmarkStart w:id="192" w:name="_Toc49863881"/>
      <w:bookmarkStart w:id="193" w:name="_Toc51673411"/>
      <w:r>
        <w:t>Regional Haze, State Implementation Plan, Final December 2010</w:t>
      </w:r>
      <w:bookmarkEnd w:id="191"/>
      <w:bookmarkEnd w:id="192"/>
      <w:bookmarkEnd w:id="193"/>
    </w:p>
    <w:p w14:paraId="417E03F0" w14:textId="77777777" w:rsidR="00893351" w:rsidRDefault="00893351" w:rsidP="00832B9F">
      <w:pPr>
        <w:pStyle w:val="Paragraph"/>
      </w:pPr>
      <w:r>
        <w:t>BART for Phillips 66 did not require review of the eight identified sources because the modeled impact was less than the 0.5 dv value.</w:t>
      </w:r>
    </w:p>
    <w:p w14:paraId="1A69D2AD" w14:textId="77777777" w:rsidR="00893351" w:rsidRDefault="00893351" w:rsidP="00E866B2">
      <w:pPr>
        <w:pStyle w:val="Heading6"/>
      </w:pPr>
      <w:bookmarkStart w:id="194" w:name="_Toc49523854"/>
      <w:bookmarkStart w:id="195" w:name="_Toc49863882"/>
      <w:bookmarkStart w:id="196" w:name="_Toc51673412"/>
      <w:r>
        <w:t>Regional Haze, Four Factor Analysis 2020</w:t>
      </w:r>
      <w:bookmarkEnd w:id="194"/>
      <w:bookmarkEnd w:id="195"/>
      <w:bookmarkEnd w:id="196"/>
    </w:p>
    <w:p w14:paraId="3F1E0288" w14:textId="4A7CAFCC" w:rsidR="00893351" w:rsidRDefault="00893351" w:rsidP="00832B9F">
      <w:pPr>
        <w:pStyle w:val="Paragraph"/>
      </w:pPr>
      <w:r>
        <w:t>Phillips 66 submitted a FFA to Ecology in April 2020.</w:t>
      </w:r>
      <w:r w:rsidR="0067717B">
        <w:t xml:space="preserve"> </w:t>
      </w:r>
      <w:r w:rsidDel="005662B2">
        <w:t>Trinity Consultants</w:t>
      </w:r>
      <w:r w:rsidR="005662B2">
        <w:t xml:space="preserve"> prepared it</w:t>
      </w:r>
      <w:r>
        <w:t>.</w:t>
      </w:r>
      <w:r w:rsidR="0067717B">
        <w:t xml:space="preserve"> </w:t>
      </w:r>
      <w:r>
        <w:t xml:space="preserve">Ecology performed an analysis and concluded that </w:t>
      </w:r>
      <w:r w:rsidR="005662B2">
        <w:t xml:space="preserve">Trinity Consultants based </w:t>
      </w:r>
      <w:r>
        <w:t>the technical data</w:t>
      </w:r>
      <w:r w:rsidDel="005662B2">
        <w:t xml:space="preserve"> </w:t>
      </w:r>
      <w:r>
        <w:t>used in the review on the 2008 SCR cost data.</w:t>
      </w:r>
      <w:r w:rsidR="0067717B">
        <w:t xml:space="preserve"> </w:t>
      </w:r>
      <w:r>
        <w:t xml:space="preserve">The cost of installing SCR’s has </w:t>
      </w:r>
      <w:r w:rsidR="002246F7">
        <w:t xml:space="preserve">decreased </w:t>
      </w:r>
      <w:r>
        <w:t>substantially over the last decade.</w:t>
      </w:r>
      <w:r w:rsidR="0067717B">
        <w:t xml:space="preserve"> </w:t>
      </w:r>
      <w:r>
        <w:t xml:space="preserve">Phillips 66’s has a FCCU </w:t>
      </w:r>
      <w:r w:rsidR="005662B2">
        <w:t>for which</w:t>
      </w:r>
      <w:r w:rsidR="002246F7">
        <w:t xml:space="preserve"> </w:t>
      </w:r>
      <w:r>
        <w:t>they did not supply cost data.</w:t>
      </w:r>
    </w:p>
    <w:p w14:paraId="7D53F1F2" w14:textId="2FBFC8D1" w:rsidR="00893351" w:rsidRPr="00BA40E4" w:rsidRDefault="00893351" w:rsidP="00832B9F">
      <w:pPr>
        <w:pStyle w:val="Paragraph"/>
      </w:pPr>
      <w:r>
        <w:t>Phillips 66’s cost was approximately 5 times that of the EPA SCR cost manual</w:t>
      </w:r>
      <w:r w:rsidR="005662B2">
        <w:t>.</w:t>
      </w:r>
      <w:r>
        <w:t xml:space="preserve"> </w:t>
      </w:r>
      <w:r w:rsidR="005662B2">
        <w:t>T</w:t>
      </w:r>
      <w:r>
        <w:t xml:space="preserve">herefore </w:t>
      </w:r>
      <w:r w:rsidR="005662B2">
        <w:t>E</w:t>
      </w:r>
      <w:r>
        <w:t xml:space="preserve">cology could not </w:t>
      </w:r>
      <w:r w:rsidR="002E62D2">
        <w:t>reconcile</w:t>
      </w:r>
      <w:r>
        <w:t xml:space="preserve"> Phillips 66 </w:t>
      </w:r>
      <w:r w:rsidRPr="00136B21">
        <w:t>cost data.</w:t>
      </w:r>
      <w:r w:rsidR="0067717B" w:rsidRPr="00136B21">
        <w:t xml:space="preserve"> </w:t>
      </w:r>
      <w:r w:rsidR="00BA40E4" w:rsidRPr="00136B21">
        <w:t>As stated in the above BP section,</w:t>
      </w:r>
      <w:r w:rsidR="00D679B8" w:rsidRPr="00136B21">
        <w:t xml:space="preserve"> E</w:t>
      </w:r>
      <w:r w:rsidRPr="00136B21">
        <w:t>cology</w:t>
      </w:r>
      <w:r w:rsidR="00136B21" w:rsidRPr="00136B21">
        <w:t xml:space="preserve"> used</w:t>
      </w:r>
      <w:r w:rsidR="003465E0">
        <w:t xml:space="preserve"> EPA’s</w:t>
      </w:r>
      <w:r w:rsidR="003D362E" w:rsidRPr="00136B21">
        <w:t xml:space="preserve"> Control Cost Manual and Tools</w:t>
      </w:r>
      <w:r w:rsidR="003D362E" w:rsidRPr="00136B21" w:rsidDel="003D362E">
        <w:t xml:space="preserve"> </w:t>
      </w:r>
      <w:r w:rsidRPr="00136B21">
        <w:t xml:space="preserve">to </w:t>
      </w:r>
      <w:r w:rsidR="002246F7" w:rsidRPr="00136B21">
        <w:t>estimate costs</w:t>
      </w:r>
      <w:r w:rsidRPr="00136B21">
        <w:t>.</w:t>
      </w:r>
      <w:r w:rsidR="00BA40E4">
        <w:t xml:space="preserve"> </w:t>
      </w:r>
    </w:p>
    <w:p w14:paraId="79B66B4C" w14:textId="4F71D815" w:rsidR="00893351" w:rsidRDefault="006F772C" w:rsidP="00832B9F">
      <w:pPr>
        <w:pStyle w:val="Paragraph"/>
      </w:pPr>
      <w:r w:rsidRPr="006F772C">
        <w:t>As part of our analysis, Ecology compared cost data provided by Phillips 66 with corresponding costs from the EPA Control Cost Manual’s SCR tools</w:t>
      </w:r>
      <w:r>
        <w:t xml:space="preserve"> with the results shown in Table 12 below</w:t>
      </w:r>
      <w:r w:rsidR="003465E0">
        <w:t>.</w:t>
      </w:r>
    </w:p>
    <w:p w14:paraId="663F34A6" w14:textId="62660264" w:rsidR="00893351" w:rsidRPr="003B2378" w:rsidRDefault="0050556F" w:rsidP="0050556F">
      <w:pPr>
        <w:pStyle w:val="Caption"/>
        <w:spacing w:after="0"/>
        <w:rPr>
          <w:rFonts w:cs="Arial"/>
          <w:b w:val="0"/>
        </w:rPr>
      </w:pPr>
      <w:bookmarkStart w:id="197" w:name="_Toc51675383"/>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12</w:t>
      </w:r>
      <w:r w:rsidR="00F45623">
        <w:rPr>
          <w:noProof/>
        </w:rPr>
        <w:fldChar w:fldCharType="end"/>
      </w:r>
      <w:r>
        <w:t xml:space="preserve">: </w:t>
      </w:r>
      <w:r w:rsidRPr="00901829">
        <w:t xml:space="preserve">Phillips 66 Equipment </w:t>
      </w:r>
      <w:r w:rsidR="00E51452">
        <w:t>i</w:t>
      </w:r>
      <w:r w:rsidRPr="00901829">
        <w:t xml:space="preserve">dentified for RACT </w:t>
      </w:r>
      <w:r w:rsidR="00E51452">
        <w:t>r</w:t>
      </w:r>
      <w:r w:rsidRPr="00901829">
        <w:t xml:space="preserve">ule </w:t>
      </w:r>
      <w:r w:rsidR="00E51452">
        <w:t>d</w:t>
      </w:r>
      <w:r w:rsidRPr="00901829">
        <w:t>evelopment</w:t>
      </w:r>
      <w:bookmarkEnd w:id="197"/>
    </w:p>
    <w:tbl>
      <w:tblPr>
        <w:tblStyle w:val="TableGrid"/>
        <w:tblW w:w="9632" w:type="dxa"/>
        <w:tblLook w:val="04A0" w:firstRow="1" w:lastRow="0" w:firstColumn="1" w:lastColumn="0" w:noHBand="0" w:noVBand="1"/>
      </w:tblPr>
      <w:tblGrid>
        <w:gridCol w:w="1596"/>
        <w:gridCol w:w="2899"/>
        <w:gridCol w:w="1440"/>
        <w:gridCol w:w="1170"/>
        <w:gridCol w:w="1146"/>
        <w:gridCol w:w="1537"/>
      </w:tblGrid>
      <w:tr w:rsidR="00893351" w:rsidRPr="008D0704" w14:paraId="0880755B" w14:textId="77777777" w:rsidTr="0050556F">
        <w:trPr>
          <w:trHeight w:val="432"/>
          <w:tblHeader/>
        </w:trPr>
        <w:tc>
          <w:tcPr>
            <w:tcW w:w="1596" w:type="dxa"/>
            <w:noWrap/>
            <w:vAlign w:val="center"/>
            <w:hideMark/>
          </w:tcPr>
          <w:p w14:paraId="21D3AFD4" w14:textId="77777777" w:rsidR="00893351" w:rsidRPr="0050556F" w:rsidRDefault="00893351" w:rsidP="0050556F">
            <w:pPr>
              <w:pStyle w:val="TableParagraph"/>
              <w:rPr>
                <w:b/>
              </w:rPr>
            </w:pPr>
            <w:r w:rsidRPr="0050556F">
              <w:rPr>
                <w:b/>
              </w:rPr>
              <w:t>Company</w:t>
            </w:r>
          </w:p>
        </w:tc>
        <w:tc>
          <w:tcPr>
            <w:tcW w:w="2899" w:type="dxa"/>
            <w:noWrap/>
            <w:vAlign w:val="center"/>
            <w:hideMark/>
          </w:tcPr>
          <w:p w14:paraId="510D2497" w14:textId="77777777" w:rsidR="00893351" w:rsidRPr="0050556F" w:rsidRDefault="00893351" w:rsidP="0050556F">
            <w:pPr>
              <w:pStyle w:val="TableParagraph"/>
              <w:rPr>
                <w:b/>
              </w:rPr>
            </w:pPr>
            <w:r w:rsidRPr="0050556F">
              <w:rPr>
                <w:b/>
              </w:rPr>
              <w:t>Equipment</w:t>
            </w:r>
          </w:p>
        </w:tc>
        <w:tc>
          <w:tcPr>
            <w:tcW w:w="1440" w:type="dxa"/>
            <w:noWrap/>
            <w:vAlign w:val="center"/>
            <w:hideMark/>
          </w:tcPr>
          <w:p w14:paraId="0041A720" w14:textId="57063E65" w:rsidR="00893351" w:rsidRPr="0050556F" w:rsidRDefault="003465E0" w:rsidP="003465E0">
            <w:pPr>
              <w:pStyle w:val="TableParagraph"/>
              <w:rPr>
                <w:b/>
              </w:rPr>
            </w:pPr>
            <w:r>
              <w:rPr>
                <w:b/>
              </w:rPr>
              <w:t>EPA Control Cost Manual</w:t>
            </w:r>
            <w:r w:rsidR="00E02730">
              <w:rPr>
                <w:b/>
              </w:rPr>
              <w:t xml:space="preserve"> </w:t>
            </w:r>
            <w:r w:rsidR="00893351" w:rsidRPr="0050556F">
              <w:rPr>
                <w:b/>
              </w:rPr>
              <w:t>$/Ton</w:t>
            </w:r>
          </w:p>
        </w:tc>
        <w:tc>
          <w:tcPr>
            <w:tcW w:w="1170" w:type="dxa"/>
            <w:noWrap/>
            <w:vAlign w:val="center"/>
            <w:hideMark/>
          </w:tcPr>
          <w:p w14:paraId="71B52A2C" w14:textId="77777777" w:rsidR="00893351" w:rsidRPr="0050556F" w:rsidRDefault="00893351" w:rsidP="0050556F">
            <w:pPr>
              <w:pStyle w:val="TableParagraph"/>
              <w:rPr>
                <w:b/>
              </w:rPr>
            </w:pPr>
            <w:r w:rsidRPr="0050556F">
              <w:rPr>
                <w:b/>
              </w:rPr>
              <w:t>Refinery $/Ton</w:t>
            </w:r>
          </w:p>
        </w:tc>
        <w:tc>
          <w:tcPr>
            <w:tcW w:w="990" w:type="dxa"/>
            <w:noWrap/>
            <w:vAlign w:val="center"/>
            <w:hideMark/>
          </w:tcPr>
          <w:p w14:paraId="4E1FD8FD" w14:textId="77777777" w:rsidR="00893351" w:rsidRPr="0050556F" w:rsidRDefault="00893351" w:rsidP="0050556F">
            <w:pPr>
              <w:pStyle w:val="TableParagraph"/>
              <w:rPr>
                <w:b/>
              </w:rPr>
            </w:pPr>
            <w:r w:rsidRPr="0050556F">
              <w:rPr>
                <w:b/>
              </w:rPr>
              <w:t>TPY Reduced</w:t>
            </w:r>
          </w:p>
        </w:tc>
        <w:tc>
          <w:tcPr>
            <w:tcW w:w="1537" w:type="dxa"/>
            <w:noWrap/>
            <w:vAlign w:val="center"/>
            <w:hideMark/>
          </w:tcPr>
          <w:p w14:paraId="36D445A4" w14:textId="77777777" w:rsidR="00893351" w:rsidRPr="0050556F" w:rsidRDefault="00893351" w:rsidP="0050556F">
            <w:pPr>
              <w:pStyle w:val="TableParagraph"/>
              <w:rPr>
                <w:b/>
              </w:rPr>
            </w:pPr>
            <w:r w:rsidRPr="0050556F">
              <w:rPr>
                <w:b/>
              </w:rPr>
              <w:t>Comment</w:t>
            </w:r>
          </w:p>
        </w:tc>
      </w:tr>
      <w:tr w:rsidR="00893351" w:rsidRPr="008D0704" w14:paraId="1194D57E" w14:textId="77777777" w:rsidTr="0050556F">
        <w:trPr>
          <w:trHeight w:val="432"/>
        </w:trPr>
        <w:tc>
          <w:tcPr>
            <w:tcW w:w="1596" w:type="dxa"/>
            <w:noWrap/>
            <w:vAlign w:val="center"/>
            <w:hideMark/>
          </w:tcPr>
          <w:p w14:paraId="4322D031" w14:textId="13198722" w:rsidR="00893351" w:rsidRPr="008D0704" w:rsidRDefault="003465E0" w:rsidP="0050556F">
            <w:pPr>
              <w:pStyle w:val="TableParagraph"/>
            </w:pPr>
            <w:r>
              <w:t>Phillips</w:t>
            </w:r>
            <w:r w:rsidR="00893351" w:rsidRPr="008D0704">
              <w:t xml:space="preserve"> 66</w:t>
            </w:r>
          </w:p>
        </w:tc>
        <w:tc>
          <w:tcPr>
            <w:tcW w:w="2899" w:type="dxa"/>
            <w:noWrap/>
            <w:vAlign w:val="center"/>
            <w:hideMark/>
          </w:tcPr>
          <w:p w14:paraId="2999C11E" w14:textId="252ABCED" w:rsidR="00893351" w:rsidRPr="008D0704" w:rsidRDefault="003465E0" w:rsidP="0050556F">
            <w:pPr>
              <w:pStyle w:val="TableParagraph"/>
            </w:pPr>
            <w:r>
              <w:t>Crude heater</w:t>
            </w:r>
            <w:r w:rsidR="00893351" w:rsidRPr="008D0704">
              <w:t xml:space="preserve"> 1F-1</w:t>
            </w:r>
          </w:p>
        </w:tc>
        <w:tc>
          <w:tcPr>
            <w:tcW w:w="1440" w:type="dxa"/>
            <w:noWrap/>
            <w:vAlign w:val="center"/>
            <w:hideMark/>
          </w:tcPr>
          <w:p w14:paraId="0A926329" w14:textId="77777777" w:rsidR="00893351" w:rsidRPr="008D0704" w:rsidRDefault="00893351" w:rsidP="0050556F">
            <w:pPr>
              <w:pStyle w:val="TableParagraph"/>
            </w:pPr>
            <w:r w:rsidRPr="008D0704">
              <w:t>2,6</w:t>
            </w:r>
            <w:r>
              <w:t>40</w:t>
            </w:r>
            <w:r w:rsidRPr="008D0704">
              <w:t xml:space="preserve"> </w:t>
            </w:r>
          </w:p>
        </w:tc>
        <w:tc>
          <w:tcPr>
            <w:tcW w:w="1170" w:type="dxa"/>
            <w:noWrap/>
            <w:vAlign w:val="center"/>
            <w:hideMark/>
          </w:tcPr>
          <w:p w14:paraId="2CF2C568" w14:textId="77777777" w:rsidR="00893351" w:rsidRPr="008D0704" w:rsidRDefault="00893351" w:rsidP="0050556F">
            <w:pPr>
              <w:pStyle w:val="TableParagraph"/>
            </w:pPr>
            <w:r w:rsidRPr="008D0704">
              <w:t xml:space="preserve">12,225 </w:t>
            </w:r>
          </w:p>
        </w:tc>
        <w:tc>
          <w:tcPr>
            <w:tcW w:w="990" w:type="dxa"/>
            <w:noWrap/>
            <w:vAlign w:val="center"/>
            <w:hideMark/>
          </w:tcPr>
          <w:p w14:paraId="788BF261" w14:textId="77777777" w:rsidR="00893351" w:rsidRPr="008D0704" w:rsidRDefault="00893351" w:rsidP="0050556F">
            <w:pPr>
              <w:pStyle w:val="TableParagraph"/>
            </w:pPr>
            <w:r w:rsidRPr="008D0704">
              <w:t xml:space="preserve">166 </w:t>
            </w:r>
          </w:p>
        </w:tc>
        <w:tc>
          <w:tcPr>
            <w:tcW w:w="1537" w:type="dxa"/>
            <w:noWrap/>
            <w:vAlign w:val="center"/>
            <w:hideMark/>
          </w:tcPr>
          <w:p w14:paraId="2BDE7E02" w14:textId="77777777" w:rsidR="00893351" w:rsidRPr="008D0704" w:rsidRDefault="00893351" w:rsidP="0050556F">
            <w:pPr>
              <w:pStyle w:val="TableParagraph"/>
            </w:pPr>
            <w:r w:rsidRPr="008D0704">
              <w:t> </w:t>
            </w:r>
          </w:p>
        </w:tc>
      </w:tr>
      <w:tr w:rsidR="00893351" w:rsidRPr="008D0704" w14:paraId="72CC47FC" w14:textId="77777777" w:rsidTr="0050556F">
        <w:trPr>
          <w:trHeight w:val="432"/>
        </w:trPr>
        <w:tc>
          <w:tcPr>
            <w:tcW w:w="1596" w:type="dxa"/>
            <w:noWrap/>
            <w:vAlign w:val="center"/>
            <w:hideMark/>
          </w:tcPr>
          <w:p w14:paraId="15CEF02F" w14:textId="7C88CB92" w:rsidR="00893351" w:rsidRPr="008D0704" w:rsidRDefault="003465E0" w:rsidP="0050556F">
            <w:pPr>
              <w:pStyle w:val="TableParagraph"/>
            </w:pPr>
            <w:r>
              <w:t>Phillips</w:t>
            </w:r>
            <w:r w:rsidR="00893351" w:rsidRPr="008D0704">
              <w:t xml:space="preserve"> 66</w:t>
            </w:r>
          </w:p>
        </w:tc>
        <w:tc>
          <w:tcPr>
            <w:tcW w:w="2899" w:type="dxa"/>
            <w:noWrap/>
            <w:vAlign w:val="center"/>
            <w:hideMark/>
          </w:tcPr>
          <w:p w14:paraId="3EE0F166" w14:textId="77777777" w:rsidR="00893351" w:rsidRPr="008D0704" w:rsidRDefault="00893351" w:rsidP="0050556F">
            <w:pPr>
              <w:pStyle w:val="TableParagraph"/>
            </w:pPr>
            <w:r w:rsidRPr="008D0704">
              <w:t>FCCU/CO Boiler/Wet Gas Scrubber 4F-100, 4F-101</w:t>
            </w:r>
          </w:p>
        </w:tc>
        <w:tc>
          <w:tcPr>
            <w:tcW w:w="1440" w:type="dxa"/>
            <w:noWrap/>
            <w:vAlign w:val="center"/>
            <w:hideMark/>
          </w:tcPr>
          <w:p w14:paraId="5699A3FB" w14:textId="77777777" w:rsidR="00893351" w:rsidRPr="008D0704" w:rsidRDefault="00893351" w:rsidP="0050556F">
            <w:pPr>
              <w:pStyle w:val="TableParagraph"/>
            </w:pPr>
            <w:r w:rsidRPr="008D0704">
              <w:t>3,954</w:t>
            </w:r>
          </w:p>
        </w:tc>
        <w:tc>
          <w:tcPr>
            <w:tcW w:w="1170" w:type="dxa"/>
            <w:noWrap/>
            <w:vAlign w:val="center"/>
            <w:hideMark/>
          </w:tcPr>
          <w:p w14:paraId="5F34AA6D" w14:textId="77777777" w:rsidR="00893351" w:rsidRPr="008D0704" w:rsidRDefault="00893351" w:rsidP="0050556F">
            <w:pPr>
              <w:pStyle w:val="TableParagraph"/>
            </w:pPr>
            <w:r>
              <w:t>---</w:t>
            </w:r>
          </w:p>
        </w:tc>
        <w:tc>
          <w:tcPr>
            <w:tcW w:w="990" w:type="dxa"/>
            <w:noWrap/>
            <w:vAlign w:val="center"/>
            <w:hideMark/>
          </w:tcPr>
          <w:p w14:paraId="027AF410" w14:textId="77777777" w:rsidR="00893351" w:rsidRPr="008D0704" w:rsidRDefault="00893351" w:rsidP="0050556F">
            <w:pPr>
              <w:pStyle w:val="TableParagraph"/>
            </w:pPr>
            <w:r w:rsidRPr="008D0704">
              <w:t xml:space="preserve">247 </w:t>
            </w:r>
          </w:p>
        </w:tc>
        <w:tc>
          <w:tcPr>
            <w:tcW w:w="1537" w:type="dxa"/>
            <w:noWrap/>
            <w:vAlign w:val="center"/>
            <w:hideMark/>
          </w:tcPr>
          <w:p w14:paraId="41F1C2D5" w14:textId="77777777" w:rsidR="00893351" w:rsidRPr="008D0704" w:rsidRDefault="00893351" w:rsidP="0050556F">
            <w:pPr>
              <w:pStyle w:val="TableParagraph"/>
            </w:pPr>
            <w:r w:rsidRPr="008D0704">
              <w:t>NSCR is installed</w:t>
            </w:r>
            <w:r>
              <w:t>.</w:t>
            </w:r>
          </w:p>
        </w:tc>
      </w:tr>
    </w:tbl>
    <w:p w14:paraId="6F47657F" w14:textId="51FCF409" w:rsidR="00893351" w:rsidRDefault="00CF4196" w:rsidP="00832B9F">
      <w:pPr>
        <w:pStyle w:val="Paragraph"/>
      </w:pPr>
      <w:r>
        <w:t>Ecology reviewed t</w:t>
      </w:r>
      <w:r w:rsidR="00893351">
        <w:t>he following equipment</w:t>
      </w:r>
      <w:r w:rsidR="00E02730">
        <w:t xml:space="preserve"> </w:t>
      </w:r>
      <w:r w:rsidR="00893351">
        <w:t xml:space="preserve">using the EPA SCR Cost Model: </w:t>
      </w:r>
    </w:p>
    <w:p w14:paraId="210D9B98" w14:textId="3C603461" w:rsidR="00893351" w:rsidRDefault="003465E0" w:rsidP="00D64301">
      <w:pPr>
        <w:pStyle w:val="Heading7"/>
      </w:pPr>
      <w:bookmarkStart w:id="198" w:name="_Toc49863883"/>
      <w:bookmarkStart w:id="199" w:name="_Toc51673413"/>
      <w:r>
        <w:t>Crude heater</w:t>
      </w:r>
      <w:r w:rsidR="00893351" w:rsidRPr="009620B7">
        <w:t xml:space="preserve"> 1F-1</w:t>
      </w:r>
      <w:bookmarkEnd w:id="198"/>
      <w:bookmarkEnd w:id="199"/>
    </w:p>
    <w:p w14:paraId="2216E3C6" w14:textId="0572359B" w:rsidR="00893351" w:rsidRDefault="00893351" w:rsidP="00832B9F">
      <w:pPr>
        <w:pStyle w:val="Paragraph"/>
      </w:pPr>
      <w:r w:rsidRPr="009620B7">
        <w:t>T</w:t>
      </w:r>
      <w:r>
        <w:t xml:space="preserve">rinity Consultants supplied a table with the limited </w:t>
      </w:r>
      <w:r w:rsidR="006F772C">
        <w:t>support</w:t>
      </w:r>
      <w:r>
        <w:t xml:space="preserve"> information.</w:t>
      </w:r>
      <w:r w:rsidR="0067717B">
        <w:t xml:space="preserve"> </w:t>
      </w:r>
      <w:r>
        <w:t>Ecology found the following discrepancies that inflated the cost for the retrofit.</w:t>
      </w:r>
    </w:p>
    <w:p w14:paraId="18C58C1D" w14:textId="1D22BA4A" w:rsidR="00D64301" w:rsidRDefault="00D64301" w:rsidP="00D64301">
      <w:pPr>
        <w:pStyle w:val="Caption"/>
        <w:keepNext/>
        <w:spacing w:after="0"/>
      </w:pPr>
      <w:bookmarkStart w:id="200" w:name="_Toc51675384"/>
      <w:r>
        <w:lastRenderedPageBreak/>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13</w:t>
      </w:r>
      <w:r w:rsidR="00F45623">
        <w:rPr>
          <w:noProof/>
        </w:rPr>
        <w:fldChar w:fldCharType="end"/>
      </w:r>
      <w:r>
        <w:t xml:space="preserve">: </w:t>
      </w:r>
      <w:r w:rsidRPr="00A978AC">
        <w:t xml:space="preserve">Crude </w:t>
      </w:r>
      <w:r w:rsidR="00E51452">
        <w:t>h</w:t>
      </w:r>
      <w:r w:rsidRPr="00A978AC">
        <w:t xml:space="preserve">eater 1F-1 </w:t>
      </w:r>
      <w:r w:rsidR="00E51452">
        <w:t>c</w:t>
      </w:r>
      <w:r w:rsidRPr="00A978AC">
        <w:t xml:space="preserve">ost </w:t>
      </w:r>
      <w:r w:rsidR="00E51452">
        <w:t>c</w:t>
      </w:r>
      <w:r w:rsidRPr="00A978AC">
        <w:t>omparison</w:t>
      </w:r>
      <w:bookmarkEnd w:id="200"/>
    </w:p>
    <w:tbl>
      <w:tblPr>
        <w:tblStyle w:val="TableGrid"/>
        <w:tblW w:w="5000" w:type="pct"/>
        <w:tblLook w:val="04A0" w:firstRow="1" w:lastRow="0" w:firstColumn="1" w:lastColumn="0" w:noHBand="0" w:noVBand="1"/>
      </w:tblPr>
      <w:tblGrid>
        <w:gridCol w:w="3793"/>
        <w:gridCol w:w="2378"/>
        <w:gridCol w:w="3179"/>
      </w:tblGrid>
      <w:tr w:rsidR="00893351" w:rsidRPr="007C419D" w14:paraId="5C925A3C" w14:textId="77777777" w:rsidTr="00D64301">
        <w:trPr>
          <w:cantSplit/>
          <w:trHeight w:val="432"/>
          <w:tblHeader/>
        </w:trPr>
        <w:tc>
          <w:tcPr>
            <w:tcW w:w="2028" w:type="pct"/>
            <w:vAlign w:val="center"/>
          </w:tcPr>
          <w:p w14:paraId="4A274595" w14:textId="77777777" w:rsidR="00893351" w:rsidRPr="00D64301" w:rsidRDefault="00893351" w:rsidP="00D64301">
            <w:pPr>
              <w:pStyle w:val="TableParagraph"/>
              <w:rPr>
                <w:b/>
              </w:rPr>
            </w:pPr>
          </w:p>
        </w:tc>
        <w:tc>
          <w:tcPr>
            <w:tcW w:w="1271" w:type="pct"/>
            <w:vAlign w:val="center"/>
          </w:tcPr>
          <w:p w14:paraId="5FA542A3" w14:textId="77777777" w:rsidR="00893351" w:rsidRPr="00D64301" w:rsidRDefault="00893351" w:rsidP="00D64301">
            <w:pPr>
              <w:pStyle w:val="TableParagraph"/>
              <w:rPr>
                <w:b/>
              </w:rPr>
            </w:pPr>
            <w:r w:rsidRPr="00D64301">
              <w:rPr>
                <w:b/>
              </w:rPr>
              <w:t>Trinity</w:t>
            </w:r>
            <w:r w:rsidRPr="00D64301">
              <w:rPr>
                <w:b/>
              </w:rPr>
              <w:br/>
              <w:t>Consultants</w:t>
            </w:r>
          </w:p>
        </w:tc>
        <w:tc>
          <w:tcPr>
            <w:tcW w:w="1700" w:type="pct"/>
            <w:vAlign w:val="center"/>
          </w:tcPr>
          <w:p w14:paraId="61FA5B6D" w14:textId="62A1A422" w:rsidR="00893351" w:rsidRPr="00D64301" w:rsidRDefault="00893351" w:rsidP="00D64301">
            <w:pPr>
              <w:pStyle w:val="TableParagraph"/>
              <w:rPr>
                <w:b/>
              </w:rPr>
            </w:pPr>
            <w:r w:rsidRPr="00D64301">
              <w:rPr>
                <w:b/>
              </w:rPr>
              <w:t xml:space="preserve">Ecology – </w:t>
            </w:r>
            <w:r w:rsidRPr="00D64301">
              <w:rPr>
                <w:b/>
              </w:rPr>
              <w:br/>
              <w:t xml:space="preserve">EPA </w:t>
            </w:r>
            <w:r w:rsidR="00E35B04">
              <w:rPr>
                <w:b/>
              </w:rPr>
              <w:t>Control Cost Manual</w:t>
            </w:r>
          </w:p>
        </w:tc>
      </w:tr>
      <w:tr w:rsidR="00893351" w:rsidRPr="007C419D" w14:paraId="2BF07609" w14:textId="77777777" w:rsidTr="00D64301">
        <w:trPr>
          <w:trHeight w:val="432"/>
        </w:trPr>
        <w:tc>
          <w:tcPr>
            <w:tcW w:w="2028" w:type="pct"/>
            <w:vAlign w:val="center"/>
          </w:tcPr>
          <w:p w14:paraId="759C9060" w14:textId="77777777" w:rsidR="00893351" w:rsidRPr="007C419D" w:rsidRDefault="00893351" w:rsidP="00D64301">
            <w:pPr>
              <w:pStyle w:val="TableParagraph"/>
            </w:pPr>
            <w:r w:rsidRPr="007C419D">
              <w:t>Capital cost $</w:t>
            </w:r>
          </w:p>
        </w:tc>
        <w:tc>
          <w:tcPr>
            <w:tcW w:w="1271" w:type="pct"/>
            <w:vAlign w:val="center"/>
          </w:tcPr>
          <w:p w14:paraId="125BB840" w14:textId="77777777" w:rsidR="00893351" w:rsidRPr="008D0704" w:rsidRDefault="00893351" w:rsidP="00D64301">
            <w:pPr>
              <w:pStyle w:val="TableParagraph"/>
            </w:pPr>
            <w:r w:rsidRPr="008D0704">
              <w:t>16,615,487</w:t>
            </w:r>
          </w:p>
        </w:tc>
        <w:tc>
          <w:tcPr>
            <w:tcW w:w="1700" w:type="pct"/>
            <w:vAlign w:val="center"/>
          </w:tcPr>
          <w:p w14:paraId="63B82F03" w14:textId="77777777" w:rsidR="00893351" w:rsidRPr="008D0704" w:rsidRDefault="00893351" w:rsidP="00D64301">
            <w:pPr>
              <w:pStyle w:val="TableParagraph"/>
            </w:pPr>
            <w:r>
              <w:t>5</w:t>
            </w:r>
            <w:r w:rsidRPr="008D0704">
              <w:t>,</w:t>
            </w:r>
            <w:r>
              <w:t>084</w:t>
            </w:r>
            <w:r w:rsidRPr="008D0704">
              <w:t>,</w:t>
            </w:r>
            <w:r>
              <w:t>927</w:t>
            </w:r>
          </w:p>
        </w:tc>
      </w:tr>
      <w:tr w:rsidR="00893351" w:rsidRPr="007C419D" w14:paraId="1E438FDC" w14:textId="77777777" w:rsidTr="00D64301">
        <w:trPr>
          <w:trHeight w:val="432"/>
        </w:trPr>
        <w:tc>
          <w:tcPr>
            <w:tcW w:w="2028" w:type="pct"/>
            <w:vAlign w:val="center"/>
          </w:tcPr>
          <w:p w14:paraId="42ECF8FB" w14:textId="77777777" w:rsidR="00893351" w:rsidRPr="007C419D" w:rsidRDefault="00893351" w:rsidP="00D64301">
            <w:pPr>
              <w:pStyle w:val="TableParagraph"/>
            </w:pPr>
            <w:r w:rsidRPr="007C419D">
              <w:t>Maintenance $/yr</w:t>
            </w:r>
          </w:p>
        </w:tc>
        <w:tc>
          <w:tcPr>
            <w:tcW w:w="1271" w:type="pct"/>
            <w:vAlign w:val="center"/>
          </w:tcPr>
          <w:p w14:paraId="18189A7D" w14:textId="77777777" w:rsidR="00893351" w:rsidRPr="008D0704" w:rsidRDefault="00893351" w:rsidP="00D64301">
            <w:pPr>
              <w:pStyle w:val="TableParagraph"/>
            </w:pPr>
            <w:r w:rsidRPr="008D0704">
              <w:t>83,077</w:t>
            </w:r>
          </w:p>
        </w:tc>
        <w:tc>
          <w:tcPr>
            <w:tcW w:w="1700" w:type="pct"/>
            <w:vAlign w:val="center"/>
          </w:tcPr>
          <w:p w14:paraId="02EB7712" w14:textId="77777777" w:rsidR="00893351" w:rsidRPr="008D0704" w:rsidRDefault="00893351" w:rsidP="00D64301">
            <w:pPr>
              <w:pStyle w:val="TableParagraph"/>
            </w:pPr>
            <w:r w:rsidRPr="008D0704">
              <w:t>2</w:t>
            </w:r>
            <w:r>
              <w:t>5</w:t>
            </w:r>
            <w:r w:rsidRPr="008D0704">
              <w:t>,</w:t>
            </w:r>
            <w:r>
              <w:t>425</w:t>
            </w:r>
          </w:p>
        </w:tc>
      </w:tr>
      <w:tr w:rsidR="00893351" w:rsidRPr="007C419D" w14:paraId="5E63B3E5" w14:textId="77777777" w:rsidTr="00D64301">
        <w:trPr>
          <w:trHeight w:val="432"/>
        </w:trPr>
        <w:tc>
          <w:tcPr>
            <w:tcW w:w="2028" w:type="pct"/>
            <w:vAlign w:val="center"/>
          </w:tcPr>
          <w:p w14:paraId="20F2A5BF" w14:textId="77777777" w:rsidR="00893351" w:rsidRPr="007C419D" w:rsidRDefault="00893351" w:rsidP="00D64301">
            <w:pPr>
              <w:pStyle w:val="TableParagraph"/>
            </w:pPr>
            <w:r w:rsidRPr="007C419D">
              <w:t>Reagent $/yr</w:t>
            </w:r>
          </w:p>
        </w:tc>
        <w:tc>
          <w:tcPr>
            <w:tcW w:w="1271" w:type="pct"/>
            <w:vAlign w:val="center"/>
          </w:tcPr>
          <w:p w14:paraId="17CD4B0F" w14:textId="77777777" w:rsidR="00893351" w:rsidRPr="008D0704" w:rsidRDefault="00893351" w:rsidP="00D64301">
            <w:pPr>
              <w:pStyle w:val="TableParagraph"/>
            </w:pPr>
            <w:r w:rsidRPr="008D0704">
              <w:t>17,691</w:t>
            </w:r>
          </w:p>
        </w:tc>
        <w:tc>
          <w:tcPr>
            <w:tcW w:w="1700" w:type="pct"/>
            <w:vAlign w:val="center"/>
          </w:tcPr>
          <w:p w14:paraId="39C53A8B" w14:textId="77777777" w:rsidR="00893351" w:rsidRPr="008D0704" w:rsidRDefault="00893351" w:rsidP="00D64301">
            <w:pPr>
              <w:pStyle w:val="TableParagraph"/>
            </w:pPr>
            <w:r>
              <w:t>20,677</w:t>
            </w:r>
          </w:p>
        </w:tc>
      </w:tr>
      <w:tr w:rsidR="00893351" w:rsidRPr="007C419D" w14:paraId="4B9B47A8" w14:textId="77777777" w:rsidTr="00D64301">
        <w:trPr>
          <w:trHeight w:val="432"/>
        </w:trPr>
        <w:tc>
          <w:tcPr>
            <w:tcW w:w="2028" w:type="pct"/>
            <w:vAlign w:val="center"/>
          </w:tcPr>
          <w:p w14:paraId="31F94A62" w14:textId="77777777" w:rsidR="00893351" w:rsidRPr="007C419D" w:rsidRDefault="00893351" w:rsidP="00D64301">
            <w:pPr>
              <w:pStyle w:val="TableParagraph"/>
            </w:pPr>
            <w:r w:rsidRPr="007C419D">
              <w:t>Catalyst $/yr</w:t>
            </w:r>
          </w:p>
        </w:tc>
        <w:tc>
          <w:tcPr>
            <w:tcW w:w="1271" w:type="pct"/>
            <w:vAlign w:val="center"/>
          </w:tcPr>
          <w:p w14:paraId="43A7648C" w14:textId="77777777" w:rsidR="00893351" w:rsidRPr="008D0704" w:rsidRDefault="00893351" w:rsidP="00D64301">
            <w:pPr>
              <w:pStyle w:val="TableParagraph"/>
            </w:pPr>
            <w:r w:rsidRPr="008D0704">
              <w:t>18,680</w:t>
            </w:r>
          </w:p>
        </w:tc>
        <w:tc>
          <w:tcPr>
            <w:tcW w:w="1700" w:type="pct"/>
            <w:vAlign w:val="center"/>
          </w:tcPr>
          <w:p w14:paraId="07C92BA0" w14:textId="77777777" w:rsidR="00893351" w:rsidRPr="008D0704" w:rsidRDefault="00893351" w:rsidP="00D64301">
            <w:pPr>
              <w:pStyle w:val="TableParagraph"/>
            </w:pPr>
            <w:r>
              <w:t>11,982</w:t>
            </w:r>
          </w:p>
        </w:tc>
      </w:tr>
      <w:tr w:rsidR="00893351" w:rsidRPr="007C419D" w14:paraId="70B84811" w14:textId="77777777" w:rsidTr="00D64301">
        <w:trPr>
          <w:trHeight w:val="432"/>
        </w:trPr>
        <w:tc>
          <w:tcPr>
            <w:tcW w:w="2028" w:type="pct"/>
            <w:vAlign w:val="center"/>
          </w:tcPr>
          <w:p w14:paraId="1F18CA28" w14:textId="77777777" w:rsidR="00893351" w:rsidRPr="007C419D" w:rsidRDefault="00893351" w:rsidP="00D64301">
            <w:pPr>
              <w:pStyle w:val="TableParagraph"/>
            </w:pPr>
            <w:r w:rsidRPr="007C419D">
              <w:t>Annualized cost $/yr</w:t>
            </w:r>
          </w:p>
        </w:tc>
        <w:tc>
          <w:tcPr>
            <w:tcW w:w="1271" w:type="pct"/>
            <w:vAlign w:val="center"/>
          </w:tcPr>
          <w:p w14:paraId="15101702" w14:textId="77777777" w:rsidR="00893351" w:rsidRPr="008D0704" w:rsidRDefault="00893351" w:rsidP="00D64301">
            <w:pPr>
              <w:pStyle w:val="TableParagraph"/>
            </w:pPr>
            <w:r w:rsidRPr="008D0704">
              <w:t>1,944,651</w:t>
            </w:r>
          </w:p>
        </w:tc>
        <w:tc>
          <w:tcPr>
            <w:tcW w:w="1700" w:type="pct"/>
            <w:vAlign w:val="center"/>
          </w:tcPr>
          <w:p w14:paraId="254F5D3A" w14:textId="77777777" w:rsidR="00893351" w:rsidRPr="008D0704" w:rsidRDefault="00893351" w:rsidP="00D64301">
            <w:pPr>
              <w:pStyle w:val="TableParagraph"/>
            </w:pPr>
            <w:r w:rsidRPr="008D0704">
              <w:t>43</w:t>
            </w:r>
            <w:r>
              <w:t>7,150</w:t>
            </w:r>
          </w:p>
        </w:tc>
      </w:tr>
      <w:tr w:rsidR="00893351" w:rsidRPr="007C419D" w14:paraId="02EEA2A0" w14:textId="77777777" w:rsidTr="00D64301">
        <w:trPr>
          <w:trHeight w:val="432"/>
        </w:trPr>
        <w:tc>
          <w:tcPr>
            <w:tcW w:w="2028" w:type="pct"/>
            <w:vAlign w:val="center"/>
          </w:tcPr>
          <w:p w14:paraId="68B1B7BF" w14:textId="0148141E" w:rsidR="00893351" w:rsidRPr="007C419D" w:rsidRDefault="00132EBB" w:rsidP="00D64301">
            <w:pPr>
              <w:pStyle w:val="TableParagraph"/>
            </w:pPr>
            <w:r w:rsidRPr="00132EBB">
              <w:t>NO</w:t>
            </w:r>
            <w:r w:rsidRPr="00132EBB">
              <w:rPr>
                <w:vertAlign w:val="subscript"/>
              </w:rPr>
              <w:t>X</w:t>
            </w:r>
            <w:r w:rsidR="00893351" w:rsidRPr="007C419D">
              <w:t xml:space="preserve"> tpy reduced</w:t>
            </w:r>
          </w:p>
        </w:tc>
        <w:tc>
          <w:tcPr>
            <w:tcW w:w="1271" w:type="pct"/>
            <w:vAlign w:val="center"/>
          </w:tcPr>
          <w:p w14:paraId="04E31918" w14:textId="77777777" w:rsidR="00893351" w:rsidRPr="008D0704" w:rsidRDefault="00893351" w:rsidP="00D64301">
            <w:pPr>
              <w:pStyle w:val="TableParagraph"/>
            </w:pPr>
            <w:r w:rsidRPr="008D0704">
              <w:t>159</w:t>
            </w:r>
          </w:p>
        </w:tc>
        <w:tc>
          <w:tcPr>
            <w:tcW w:w="1700" w:type="pct"/>
            <w:vAlign w:val="center"/>
          </w:tcPr>
          <w:p w14:paraId="1746671E" w14:textId="77777777" w:rsidR="00893351" w:rsidRPr="008D0704" w:rsidRDefault="00893351" w:rsidP="00D64301">
            <w:pPr>
              <w:pStyle w:val="TableParagraph"/>
            </w:pPr>
            <w:r w:rsidRPr="008D0704">
              <w:t>1</w:t>
            </w:r>
            <w:r>
              <w:t>66</w:t>
            </w:r>
          </w:p>
        </w:tc>
      </w:tr>
      <w:tr w:rsidR="00893351" w:rsidRPr="007C419D" w14:paraId="35E1C633" w14:textId="77777777" w:rsidTr="00D64301">
        <w:trPr>
          <w:trHeight w:val="432"/>
        </w:trPr>
        <w:tc>
          <w:tcPr>
            <w:tcW w:w="2028" w:type="pct"/>
            <w:vAlign w:val="center"/>
          </w:tcPr>
          <w:p w14:paraId="17E1747F" w14:textId="152ACB82" w:rsidR="00893351" w:rsidRPr="007C419D" w:rsidRDefault="00893351" w:rsidP="00D64301">
            <w:pPr>
              <w:pStyle w:val="TableParagraph"/>
            </w:pPr>
            <w:r w:rsidRPr="007C419D">
              <w:t xml:space="preserve">$/ton </w:t>
            </w:r>
            <w:r w:rsidR="00132EBB" w:rsidRPr="00132EBB">
              <w:t>NO</w:t>
            </w:r>
            <w:r w:rsidR="00132EBB" w:rsidRPr="00132EBB">
              <w:rPr>
                <w:vertAlign w:val="subscript"/>
              </w:rPr>
              <w:t>X</w:t>
            </w:r>
            <w:r w:rsidR="00132EBB" w:rsidRPr="00132EBB">
              <w:t xml:space="preserve"> </w:t>
            </w:r>
            <w:r w:rsidRPr="007C419D">
              <w:t>reduced</w:t>
            </w:r>
          </w:p>
        </w:tc>
        <w:tc>
          <w:tcPr>
            <w:tcW w:w="1271" w:type="pct"/>
            <w:vAlign w:val="center"/>
          </w:tcPr>
          <w:p w14:paraId="3F3EF199" w14:textId="77777777" w:rsidR="00893351" w:rsidRPr="008D0704" w:rsidRDefault="00893351" w:rsidP="00D64301">
            <w:pPr>
              <w:pStyle w:val="TableParagraph"/>
            </w:pPr>
            <w:r w:rsidRPr="008D0704">
              <w:t>12,225</w:t>
            </w:r>
          </w:p>
        </w:tc>
        <w:tc>
          <w:tcPr>
            <w:tcW w:w="1700" w:type="pct"/>
            <w:vAlign w:val="center"/>
          </w:tcPr>
          <w:p w14:paraId="6CC753AB" w14:textId="77777777" w:rsidR="00893351" w:rsidRPr="008D0704" w:rsidRDefault="00893351" w:rsidP="00D64301">
            <w:pPr>
              <w:pStyle w:val="TableParagraph"/>
            </w:pPr>
            <w:r>
              <w:t>2,640</w:t>
            </w:r>
          </w:p>
        </w:tc>
      </w:tr>
    </w:tbl>
    <w:p w14:paraId="340F1FAF" w14:textId="3E0CD144" w:rsidR="00893351" w:rsidRPr="008D0704" w:rsidRDefault="00893351" w:rsidP="00832B9F">
      <w:pPr>
        <w:pStyle w:val="Paragraph"/>
      </w:pPr>
      <w:r w:rsidRPr="008D0704">
        <w:t xml:space="preserve">Ecology used the EPA </w:t>
      </w:r>
      <w:r w:rsidR="00E35B04">
        <w:t>Control Cost Manual</w:t>
      </w:r>
      <w:r w:rsidRPr="008D0704">
        <w:t xml:space="preserve"> cost with 90</w:t>
      </w:r>
      <w:r w:rsidR="00B07D39">
        <w:t xml:space="preserve">% </w:t>
      </w:r>
      <w:r w:rsidRPr="008D0704">
        <w:t>controls.</w:t>
      </w:r>
      <w:r w:rsidR="0067717B">
        <w:t xml:space="preserve"> </w:t>
      </w:r>
      <w:r w:rsidRPr="008D0704">
        <w:t>Trinity Consultants did not supply the cost data they used to scale their cost data.</w:t>
      </w:r>
    </w:p>
    <w:p w14:paraId="6D4DCFEC" w14:textId="77777777" w:rsidR="00893351" w:rsidRPr="00C5621E" w:rsidRDefault="00893351" w:rsidP="000D4D2A">
      <w:pPr>
        <w:pStyle w:val="Heading7"/>
      </w:pPr>
      <w:bookmarkStart w:id="201" w:name="_Toc51673414"/>
      <w:r w:rsidRPr="009620B7">
        <w:t>FCCU/CO Boiler</w:t>
      </w:r>
      <w:bookmarkEnd w:id="201"/>
    </w:p>
    <w:p w14:paraId="5D2E853F" w14:textId="77777777" w:rsidR="00893351" w:rsidRDefault="00893351" w:rsidP="00832B9F">
      <w:pPr>
        <w:pStyle w:val="Paragraph"/>
      </w:pPr>
      <w:r w:rsidRPr="009620B7">
        <w:t>T</w:t>
      </w:r>
      <w:r>
        <w:t>rinity Consultants did not supply cost data for this equipment</w:t>
      </w:r>
      <w:r w:rsidRPr="009620B7">
        <w:t>.</w:t>
      </w:r>
    </w:p>
    <w:p w14:paraId="5CBAAD1C" w14:textId="24EEF02C" w:rsidR="00893351" w:rsidRPr="00AC7131" w:rsidRDefault="000D4D2A" w:rsidP="000D4D2A">
      <w:pPr>
        <w:pStyle w:val="Caption"/>
        <w:spacing w:after="0"/>
        <w:rPr>
          <w:rFonts w:cs="Arial"/>
          <w:b w:val="0"/>
        </w:rPr>
      </w:pPr>
      <w:bookmarkStart w:id="202" w:name="_Toc51675385"/>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14</w:t>
      </w:r>
      <w:r w:rsidR="00F45623">
        <w:rPr>
          <w:noProof/>
        </w:rPr>
        <w:fldChar w:fldCharType="end"/>
      </w:r>
      <w:r>
        <w:t xml:space="preserve">: </w:t>
      </w:r>
      <w:r w:rsidR="00E51452">
        <w:t>FCCU/CO b</w:t>
      </w:r>
      <w:r w:rsidRPr="00EA15ED">
        <w:t xml:space="preserve">oiler </w:t>
      </w:r>
      <w:r w:rsidR="00E51452">
        <w:t>c</w:t>
      </w:r>
      <w:r w:rsidRPr="00EA15ED">
        <w:t xml:space="preserve">ost </w:t>
      </w:r>
      <w:r w:rsidR="00E51452">
        <w:t>c</w:t>
      </w:r>
      <w:r w:rsidRPr="00EA15ED">
        <w:t>omparison</w:t>
      </w:r>
      <w:bookmarkEnd w:id="202"/>
    </w:p>
    <w:tbl>
      <w:tblPr>
        <w:tblStyle w:val="TableGrid"/>
        <w:tblW w:w="5000" w:type="pct"/>
        <w:tblLook w:val="04A0" w:firstRow="1" w:lastRow="0" w:firstColumn="1" w:lastColumn="0" w:noHBand="0" w:noVBand="1"/>
      </w:tblPr>
      <w:tblGrid>
        <w:gridCol w:w="3793"/>
        <w:gridCol w:w="2378"/>
        <w:gridCol w:w="3179"/>
      </w:tblGrid>
      <w:tr w:rsidR="00893351" w:rsidRPr="007C419D" w14:paraId="2F5880A9" w14:textId="77777777" w:rsidTr="00132EBB">
        <w:trPr>
          <w:cantSplit/>
          <w:trHeight w:val="432"/>
          <w:tblHeader/>
        </w:trPr>
        <w:tc>
          <w:tcPr>
            <w:tcW w:w="2028" w:type="pct"/>
            <w:vAlign w:val="center"/>
          </w:tcPr>
          <w:p w14:paraId="008FE23E" w14:textId="77777777" w:rsidR="00893351" w:rsidRPr="00794BB9" w:rsidRDefault="00893351" w:rsidP="00132EBB">
            <w:pPr>
              <w:pStyle w:val="TableParagraph"/>
              <w:rPr>
                <w:b/>
              </w:rPr>
            </w:pPr>
          </w:p>
        </w:tc>
        <w:tc>
          <w:tcPr>
            <w:tcW w:w="1271" w:type="pct"/>
            <w:vAlign w:val="center"/>
          </w:tcPr>
          <w:p w14:paraId="2AE71A8C" w14:textId="77777777" w:rsidR="00893351" w:rsidRPr="00794BB9" w:rsidRDefault="00893351" w:rsidP="00132EBB">
            <w:pPr>
              <w:pStyle w:val="TableParagraph"/>
              <w:rPr>
                <w:b/>
              </w:rPr>
            </w:pPr>
            <w:r w:rsidRPr="00794BB9">
              <w:rPr>
                <w:b/>
              </w:rPr>
              <w:t>Trinity</w:t>
            </w:r>
            <w:r w:rsidRPr="00794BB9">
              <w:rPr>
                <w:b/>
              </w:rPr>
              <w:br/>
              <w:t>Consultants</w:t>
            </w:r>
          </w:p>
        </w:tc>
        <w:tc>
          <w:tcPr>
            <w:tcW w:w="1700" w:type="pct"/>
            <w:vAlign w:val="center"/>
          </w:tcPr>
          <w:p w14:paraId="7EF24546" w14:textId="7A67EC07" w:rsidR="00893351" w:rsidRPr="00794BB9" w:rsidRDefault="00893351" w:rsidP="00132EBB">
            <w:pPr>
              <w:pStyle w:val="TableParagraph"/>
              <w:rPr>
                <w:b/>
              </w:rPr>
            </w:pPr>
            <w:r w:rsidRPr="00794BB9">
              <w:rPr>
                <w:b/>
              </w:rPr>
              <w:t xml:space="preserve">Ecology – </w:t>
            </w:r>
            <w:r w:rsidRPr="00794BB9">
              <w:rPr>
                <w:b/>
              </w:rPr>
              <w:br/>
              <w:t xml:space="preserve">EPA </w:t>
            </w:r>
            <w:r w:rsidR="00E35B04">
              <w:rPr>
                <w:b/>
              </w:rPr>
              <w:t>Control Cost Manual</w:t>
            </w:r>
          </w:p>
        </w:tc>
      </w:tr>
      <w:tr w:rsidR="00893351" w:rsidRPr="007C419D" w14:paraId="2F0F40AF" w14:textId="77777777" w:rsidTr="00132EBB">
        <w:trPr>
          <w:trHeight w:val="432"/>
        </w:trPr>
        <w:tc>
          <w:tcPr>
            <w:tcW w:w="2028" w:type="pct"/>
            <w:vAlign w:val="center"/>
          </w:tcPr>
          <w:p w14:paraId="714C96C1" w14:textId="77777777" w:rsidR="00893351" w:rsidRPr="007C419D" w:rsidRDefault="00893351" w:rsidP="00132EBB">
            <w:pPr>
              <w:pStyle w:val="TableParagraph"/>
            </w:pPr>
            <w:r w:rsidRPr="007C419D">
              <w:t>Capital cost $</w:t>
            </w:r>
          </w:p>
        </w:tc>
        <w:tc>
          <w:tcPr>
            <w:tcW w:w="1271" w:type="pct"/>
            <w:vAlign w:val="center"/>
          </w:tcPr>
          <w:p w14:paraId="22404F45" w14:textId="77777777" w:rsidR="00893351" w:rsidRPr="00AC7131" w:rsidRDefault="00893351" w:rsidP="00132EBB">
            <w:pPr>
              <w:pStyle w:val="TableParagraph"/>
            </w:pPr>
            <w:r w:rsidRPr="00AC7131">
              <w:t>NA</w:t>
            </w:r>
          </w:p>
        </w:tc>
        <w:tc>
          <w:tcPr>
            <w:tcW w:w="1700" w:type="pct"/>
            <w:vAlign w:val="center"/>
          </w:tcPr>
          <w:p w14:paraId="182DC5F0" w14:textId="77777777" w:rsidR="00893351" w:rsidRPr="00AC7131" w:rsidRDefault="00893351" w:rsidP="00132EBB">
            <w:pPr>
              <w:pStyle w:val="TableParagraph"/>
            </w:pPr>
            <w:r w:rsidRPr="00AC7131">
              <w:t>8,983,013</w:t>
            </w:r>
          </w:p>
        </w:tc>
      </w:tr>
      <w:tr w:rsidR="00893351" w:rsidRPr="007C419D" w14:paraId="231DC836" w14:textId="77777777" w:rsidTr="00132EBB">
        <w:trPr>
          <w:trHeight w:val="432"/>
        </w:trPr>
        <w:tc>
          <w:tcPr>
            <w:tcW w:w="2028" w:type="pct"/>
            <w:vAlign w:val="center"/>
          </w:tcPr>
          <w:p w14:paraId="773151C3" w14:textId="77777777" w:rsidR="00893351" w:rsidRPr="007C419D" w:rsidRDefault="00893351" w:rsidP="00132EBB">
            <w:pPr>
              <w:pStyle w:val="TableParagraph"/>
            </w:pPr>
            <w:r w:rsidRPr="007C419D">
              <w:t>Maintenance $/yr</w:t>
            </w:r>
          </w:p>
        </w:tc>
        <w:tc>
          <w:tcPr>
            <w:tcW w:w="1271" w:type="pct"/>
            <w:vAlign w:val="center"/>
          </w:tcPr>
          <w:p w14:paraId="3A1A9E07" w14:textId="77777777" w:rsidR="00893351" w:rsidRPr="00AC7131" w:rsidRDefault="00893351" w:rsidP="00132EBB">
            <w:pPr>
              <w:pStyle w:val="TableParagraph"/>
            </w:pPr>
            <w:r w:rsidRPr="00AC7131">
              <w:t>NA</w:t>
            </w:r>
          </w:p>
        </w:tc>
        <w:tc>
          <w:tcPr>
            <w:tcW w:w="1700" w:type="pct"/>
            <w:vAlign w:val="center"/>
          </w:tcPr>
          <w:p w14:paraId="2A2D3382" w14:textId="77777777" w:rsidR="00893351" w:rsidRPr="00AC7131" w:rsidRDefault="00893351" w:rsidP="00132EBB">
            <w:pPr>
              <w:pStyle w:val="TableParagraph"/>
            </w:pPr>
            <w:r w:rsidRPr="00AC7131">
              <w:t>44,915</w:t>
            </w:r>
          </w:p>
        </w:tc>
      </w:tr>
      <w:tr w:rsidR="00893351" w:rsidRPr="007C419D" w14:paraId="1560DECC" w14:textId="77777777" w:rsidTr="00132EBB">
        <w:trPr>
          <w:trHeight w:val="432"/>
        </w:trPr>
        <w:tc>
          <w:tcPr>
            <w:tcW w:w="2028" w:type="pct"/>
            <w:vAlign w:val="center"/>
          </w:tcPr>
          <w:p w14:paraId="48968C1E" w14:textId="77777777" w:rsidR="00893351" w:rsidRPr="007C419D" w:rsidRDefault="00893351" w:rsidP="00132EBB">
            <w:pPr>
              <w:pStyle w:val="TableParagraph"/>
            </w:pPr>
            <w:r w:rsidRPr="007C419D">
              <w:t>Reagent $/yr</w:t>
            </w:r>
          </w:p>
        </w:tc>
        <w:tc>
          <w:tcPr>
            <w:tcW w:w="1271" w:type="pct"/>
            <w:vAlign w:val="center"/>
          </w:tcPr>
          <w:p w14:paraId="528A4632" w14:textId="77777777" w:rsidR="00893351" w:rsidRPr="00AC7131" w:rsidRDefault="00893351" w:rsidP="00132EBB">
            <w:pPr>
              <w:pStyle w:val="TableParagraph"/>
            </w:pPr>
            <w:r w:rsidRPr="00AC7131">
              <w:t>NA</w:t>
            </w:r>
          </w:p>
        </w:tc>
        <w:tc>
          <w:tcPr>
            <w:tcW w:w="1700" w:type="pct"/>
            <w:vAlign w:val="center"/>
          </w:tcPr>
          <w:p w14:paraId="1DB3CA34" w14:textId="77777777" w:rsidR="00893351" w:rsidRPr="00AC7131" w:rsidRDefault="00893351" w:rsidP="00132EBB">
            <w:pPr>
              <w:pStyle w:val="TableParagraph"/>
            </w:pPr>
            <w:r w:rsidRPr="00AC7131">
              <w:t>49,624</w:t>
            </w:r>
          </w:p>
        </w:tc>
      </w:tr>
      <w:tr w:rsidR="00893351" w:rsidRPr="007C419D" w14:paraId="0E3FA2B2" w14:textId="77777777" w:rsidTr="00132EBB">
        <w:trPr>
          <w:trHeight w:val="432"/>
        </w:trPr>
        <w:tc>
          <w:tcPr>
            <w:tcW w:w="2028" w:type="pct"/>
            <w:vAlign w:val="center"/>
          </w:tcPr>
          <w:p w14:paraId="404FEA89" w14:textId="77777777" w:rsidR="00893351" w:rsidRPr="007C419D" w:rsidRDefault="00893351" w:rsidP="00132EBB">
            <w:pPr>
              <w:pStyle w:val="TableParagraph"/>
            </w:pPr>
            <w:r w:rsidRPr="007C419D">
              <w:t>Catalyst $/yr</w:t>
            </w:r>
          </w:p>
        </w:tc>
        <w:tc>
          <w:tcPr>
            <w:tcW w:w="1271" w:type="pct"/>
            <w:vAlign w:val="center"/>
          </w:tcPr>
          <w:p w14:paraId="54E56CF9" w14:textId="77777777" w:rsidR="00893351" w:rsidRPr="00AC7131" w:rsidRDefault="00893351" w:rsidP="00132EBB">
            <w:pPr>
              <w:pStyle w:val="TableParagraph"/>
            </w:pPr>
            <w:r w:rsidRPr="00AC7131">
              <w:t>NA</w:t>
            </w:r>
          </w:p>
        </w:tc>
        <w:tc>
          <w:tcPr>
            <w:tcW w:w="1700" w:type="pct"/>
            <w:vAlign w:val="center"/>
          </w:tcPr>
          <w:p w14:paraId="0092792F" w14:textId="77777777" w:rsidR="00893351" w:rsidRPr="00AC7131" w:rsidRDefault="00893351" w:rsidP="00132EBB">
            <w:pPr>
              <w:pStyle w:val="TableParagraph"/>
            </w:pPr>
            <w:r w:rsidRPr="00AC7131">
              <w:t>27,183</w:t>
            </w:r>
          </w:p>
        </w:tc>
      </w:tr>
      <w:tr w:rsidR="00893351" w:rsidRPr="007C419D" w14:paraId="1F8D6412" w14:textId="77777777" w:rsidTr="00132EBB">
        <w:trPr>
          <w:trHeight w:val="432"/>
        </w:trPr>
        <w:tc>
          <w:tcPr>
            <w:tcW w:w="2028" w:type="pct"/>
            <w:vAlign w:val="center"/>
          </w:tcPr>
          <w:p w14:paraId="3A5136FF" w14:textId="77777777" w:rsidR="00893351" w:rsidRPr="007C419D" w:rsidRDefault="00893351" w:rsidP="00132EBB">
            <w:pPr>
              <w:pStyle w:val="TableParagraph"/>
            </w:pPr>
            <w:r w:rsidRPr="007C419D">
              <w:t>Annualized cost $/yr</w:t>
            </w:r>
          </w:p>
        </w:tc>
        <w:tc>
          <w:tcPr>
            <w:tcW w:w="1271" w:type="pct"/>
            <w:vAlign w:val="center"/>
          </w:tcPr>
          <w:p w14:paraId="58B799AF" w14:textId="77777777" w:rsidR="00893351" w:rsidRPr="00AC7131" w:rsidRDefault="00893351" w:rsidP="00132EBB">
            <w:pPr>
              <w:pStyle w:val="TableParagraph"/>
            </w:pPr>
            <w:r w:rsidRPr="00AC7131">
              <w:t>NA</w:t>
            </w:r>
          </w:p>
        </w:tc>
        <w:tc>
          <w:tcPr>
            <w:tcW w:w="1700" w:type="pct"/>
            <w:vAlign w:val="center"/>
          </w:tcPr>
          <w:p w14:paraId="168FA3D8" w14:textId="77777777" w:rsidR="00893351" w:rsidRPr="00AC7131" w:rsidRDefault="00893351" w:rsidP="00132EBB">
            <w:pPr>
              <w:pStyle w:val="TableParagraph"/>
            </w:pPr>
            <w:r w:rsidRPr="00AC7131">
              <w:t>976,820</w:t>
            </w:r>
          </w:p>
        </w:tc>
      </w:tr>
      <w:tr w:rsidR="00893351" w:rsidRPr="007C419D" w14:paraId="61B6C5D8" w14:textId="77777777" w:rsidTr="00132EBB">
        <w:trPr>
          <w:trHeight w:val="432"/>
        </w:trPr>
        <w:tc>
          <w:tcPr>
            <w:tcW w:w="2028" w:type="pct"/>
            <w:vAlign w:val="center"/>
          </w:tcPr>
          <w:p w14:paraId="0E44CEC6" w14:textId="416EFD45" w:rsidR="00893351" w:rsidRPr="007C419D" w:rsidRDefault="00132EBB" w:rsidP="00132EBB">
            <w:pPr>
              <w:pStyle w:val="TableParagraph"/>
            </w:pPr>
            <w:r w:rsidRPr="00132EBB">
              <w:t>NO</w:t>
            </w:r>
            <w:r w:rsidRPr="00132EBB">
              <w:rPr>
                <w:vertAlign w:val="subscript"/>
              </w:rPr>
              <w:t>X</w:t>
            </w:r>
            <w:r w:rsidR="00893351" w:rsidRPr="007C419D">
              <w:t xml:space="preserve"> tpy reduced</w:t>
            </w:r>
          </w:p>
        </w:tc>
        <w:tc>
          <w:tcPr>
            <w:tcW w:w="1271" w:type="pct"/>
            <w:vAlign w:val="center"/>
          </w:tcPr>
          <w:p w14:paraId="00BD394E" w14:textId="77777777" w:rsidR="00893351" w:rsidRPr="00AC7131" w:rsidRDefault="00893351" w:rsidP="00132EBB">
            <w:pPr>
              <w:pStyle w:val="TableParagraph"/>
            </w:pPr>
            <w:r w:rsidRPr="00AC7131">
              <w:t>NA</w:t>
            </w:r>
          </w:p>
        </w:tc>
        <w:tc>
          <w:tcPr>
            <w:tcW w:w="1700" w:type="pct"/>
            <w:vAlign w:val="center"/>
          </w:tcPr>
          <w:p w14:paraId="764C21BA" w14:textId="77777777" w:rsidR="00893351" w:rsidRPr="00AC7131" w:rsidRDefault="00893351" w:rsidP="00132EBB">
            <w:pPr>
              <w:pStyle w:val="TableParagraph"/>
            </w:pPr>
            <w:r w:rsidRPr="00AC7131">
              <w:t>247</w:t>
            </w:r>
          </w:p>
        </w:tc>
      </w:tr>
      <w:tr w:rsidR="00893351" w:rsidRPr="007C419D" w14:paraId="182556DD" w14:textId="77777777" w:rsidTr="00132EBB">
        <w:trPr>
          <w:trHeight w:val="432"/>
        </w:trPr>
        <w:tc>
          <w:tcPr>
            <w:tcW w:w="2028" w:type="pct"/>
            <w:vAlign w:val="center"/>
          </w:tcPr>
          <w:p w14:paraId="3BD0DCCA" w14:textId="23A4D120" w:rsidR="00893351" w:rsidRPr="007C419D" w:rsidRDefault="00893351" w:rsidP="00132EBB">
            <w:pPr>
              <w:pStyle w:val="TableParagraph"/>
            </w:pPr>
            <w:r w:rsidRPr="007C419D">
              <w:t xml:space="preserve">$/ton </w:t>
            </w:r>
            <w:r w:rsidR="00132EBB" w:rsidRPr="00132EBB">
              <w:t>NO</w:t>
            </w:r>
            <w:r w:rsidR="00132EBB" w:rsidRPr="00132EBB">
              <w:rPr>
                <w:vertAlign w:val="subscript"/>
              </w:rPr>
              <w:t>X</w:t>
            </w:r>
            <w:r w:rsidRPr="007C419D">
              <w:t xml:space="preserve"> reduced</w:t>
            </w:r>
          </w:p>
        </w:tc>
        <w:tc>
          <w:tcPr>
            <w:tcW w:w="1271" w:type="pct"/>
            <w:vAlign w:val="center"/>
          </w:tcPr>
          <w:p w14:paraId="56B30BBF" w14:textId="77777777" w:rsidR="00893351" w:rsidRPr="00AC7131" w:rsidRDefault="00893351" w:rsidP="00132EBB">
            <w:pPr>
              <w:pStyle w:val="TableParagraph"/>
            </w:pPr>
            <w:r w:rsidRPr="00AC7131">
              <w:t>NA</w:t>
            </w:r>
          </w:p>
        </w:tc>
        <w:tc>
          <w:tcPr>
            <w:tcW w:w="1700" w:type="pct"/>
            <w:vAlign w:val="center"/>
          </w:tcPr>
          <w:p w14:paraId="2DD67A7A" w14:textId="77777777" w:rsidR="00893351" w:rsidRPr="00AC7131" w:rsidRDefault="00893351" w:rsidP="00132EBB">
            <w:pPr>
              <w:pStyle w:val="TableParagraph"/>
            </w:pPr>
            <w:r w:rsidRPr="00AC7131">
              <w:t>3,954</w:t>
            </w:r>
          </w:p>
        </w:tc>
      </w:tr>
    </w:tbl>
    <w:p w14:paraId="7C0A4AD0" w14:textId="6DF1585B" w:rsidR="00893351" w:rsidRPr="00AC7131" w:rsidRDefault="00893351" w:rsidP="00832B9F">
      <w:pPr>
        <w:pStyle w:val="Paragraph"/>
      </w:pPr>
      <w:r w:rsidRPr="00AC7131">
        <w:t xml:space="preserve">Ecology used the EPA </w:t>
      </w:r>
      <w:r w:rsidR="00E35B04">
        <w:t>Control Cost Manual</w:t>
      </w:r>
      <w:r w:rsidRPr="00AC7131">
        <w:t xml:space="preserve"> cost with 90</w:t>
      </w:r>
      <w:r w:rsidR="00B07D39">
        <w:t>%</w:t>
      </w:r>
      <w:r w:rsidR="00B07D39" w:rsidRPr="00AC7131">
        <w:t xml:space="preserve"> </w:t>
      </w:r>
      <w:r w:rsidRPr="00AC7131">
        <w:t>controls</w:t>
      </w:r>
      <w:r>
        <w:t>.</w:t>
      </w:r>
    </w:p>
    <w:p w14:paraId="3AA171B6" w14:textId="5B6E43BE" w:rsidR="00893351" w:rsidRDefault="00893351" w:rsidP="000D4D2A">
      <w:pPr>
        <w:pStyle w:val="Heading7"/>
      </w:pPr>
      <w:bookmarkStart w:id="203" w:name="_Toc51673415"/>
      <w:r>
        <w:t>Summary</w:t>
      </w:r>
      <w:r w:rsidR="003D362E">
        <w:t xml:space="preserve"> &amp; Recommendations</w:t>
      </w:r>
      <w:bookmarkEnd w:id="203"/>
    </w:p>
    <w:p w14:paraId="5E941E32" w14:textId="0BCED5CE" w:rsidR="00893351" w:rsidRDefault="00893351" w:rsidP="00832B9F">
      <w:pPr>
        <w:pStyle w:val="Paragraph"/>
      </w:pPr>
      <w:r>
        <w:t>Ecology’s review indicates that additional controls are cost-effective and therefore</w:t>
      </w:r>
      <w:r w:rsidR="00FF29DF">
        <w:t xml:space="preserve"> recommends</w:t>
      </w:r>
      <w:r>
        <w:t xml:space="preserve"> RACT rule development.</w:t>
      </w:r>
      <w:r w:rsidR="0067717B">
        <w:t xml:space="preserve"> </w:t>
      </w:r>
      <w:r w:rsidRPr="009620B7">
        <w:t>T</w:t>
      </w:r>
      <w:r>
        <w:t xml:space="preserve">rinity Consultants’ data is inflated and Ecology cannot </w:t>
      </w:r>
      <w:r w:rsidR="002E62D2">
        <w:t>reconcile</w:t>
      </w:r>
      <w:r>
        <w:t xml:space="preserve"> the values presented by Phillips 66. </w:t>
      </w:r>
    </w:p>
    <w:p w14:paraId="03D367EE" w14:textId="77777777" w:rsidR="003D362E" w:rsidRDefault="003D362E" w:rsidP="003D362E">
      <w:pPr>
        <w:pStyle w:val="Paragraph"/>
      </w:pPr>
      <w:r>
        <w:t xml:space="preserve">Ecology’s Four Factor review has determined the following: </w:t>
      </w:r>
    </w:p>
    <w:p w14:paraId="74F83DC6" w14:textId="77777777" w:rsidR="00893351" w:rsidRPr="00150BED" w:rsidRDefault="00893351" w:rsidP="00832B9F">
      <w:pPr>
        <w:pStyle w:val="Paragraph"/>
      </w:pPr>
      <w:r w:rsidRPr="00150BED">
        <w:t>Factor #1 – The costs of compliance</w:t>
      </w:r>
    </w:p>
    <w:p w14:paraId="7266CC70" w14:textId="396EAE9A" w:rsidR="00893351" w:rsidRPr="00AC7131" w:rsidRDefault="00893351" w:rsidP="00832B9F">
      <w:pPr>
        <w:pStyle w:val="Paragraph"/>
        <w:ind w:left="720"/>
      </w:pPr>
      <w:r w:rsidRPr="00150BED">
        <w:lastRenderedPageBreak/>
        <w:t>$2,6</w:t>
      </w:r>
      <w:r w:rsidRPr="00854163">
        <w:t>00</w:t>
      </w:r>
      <w:r w:rsidRPr="00150BED">
        <w:t>/ton to $</w:t>
      </w:r>
      <w:r w:rsidRPr="00854163">
        <w:t>4,000</w:t>
      </w:r>
      <w:r w:rsidRPr="00150BED">
        <w:t>/ton</w:t>
      </w:r>
    </w:p>
    <w:p w14:paraId="6CBDDA19" w14:textId="77777777" w:rsidR="00893351" w:rsidRPr="00AC7131" w:rsidRDefault="00893351" w:rsidP="00832B9F">
      <w:pPr>
        <w:pStyle w:val="Paragraph"/>
      </w:pPr>
      <w:r w:rsidRPr="00AC7131">
        <w:t xml:space="preserve">Factor #2 – The time necessary for compliance </w:t>
      </w:r>
    </w:p>
    <w:p w14:paraId="4A64E333" w14:textId="7A308F6E" w:rsidR="00893351" w:rsidRPr="00AC7131" w:rsidRDefault="00893351" w:rsidP="00832B9F">
      <w:pPr>
        <w:pStyle w:val="Paragraph"/>
        <w:ind w:left="720"/>
      </w:pPr>
      <w:r w:rsidRPr="00AC7131">
        <w:t>During rule development, ecology will accommodate the time necessary for design</w:t>
      </w:r>
      <w:r w:rsidR="00E80308">
        <w:t>,</w:t>
      </w:r>
      <w:r w:rsidRPr="00AC7131">
        <w:t xml:space="preserve"> and installation of the equipment</w:t>
      </w:r>
      <w:r w:rsidR="00E80308">
        <w:t xml:space="preserve"> during planned </w:t>
      </w:r>
      <w:r w:rsidR="00FF29DF">
        <w:t>shutdowns</w:t>
      </w:r>
      <w:r w:rsidR="00E80308">
        <w:t xml:space="preserve"> to occur within a reasonable amount of time</w:t>
      </w:r>
      <w:r w:rsidRPr="00AC7131">
        <w:t>.</w:t>
      </w:r>
    </w:p>
    <w:p w14:paraId="1B6CE795" w14:textId="77777777" w:rsidR="00893351" w:rsidRPr="00AC7131" w:rsidRDefault="00893351" w:rsidP="00832B9F">
      <w:pPr>
        <w:pStyle w:val="Paragraph"/>
      </w:pPr>
      <w:r w:rsidRPr="00AC7131">
        <w:t>Factor #3 – The energy and non-air quality environmental impacts of compliance</w:t>
      </w:r>
    </w:p>
    <w:p w14:paraId="3BFD009E" w14:textId="358F99CA" w:rsidR="00893351" w:rsidRPr="00AC7131" w:rsidRDefault="00893351" w:rsidP="00832B9F">
      <w:pPr>
        <w:pStyle w:val="Paragraph"/>
        <w:ind w:left="720"/>
      </w:pPr>
      <w:r w:rsidRPr="00AC7131">
        <w:t>The power needed to drive the exhaust fans is included in the analysis.</w:t>
      </w:r>
    </w:p>
    <w:p w14:paraId="740D7DCB" w14:textId="07C7238F" w:rsidR="00893351" w:rsidRPr="00AC7131" w:rsidRDefault="00893351" w:rsidP="00832B9F">
      <w:pPr>
        <w:pStyle w:val="Paragraph"/>
      </w:pPr>
      <w:r w:rsidRPr="00AC7131">
        <w:t>Factor #4 – The remaining useful life on existing source subject to such requirements</w:t>
      </w:r>
      <w:r w:rsidR="00E80308">
        <w:t>.</w:t>
      </w:r>
    </w:p>
    <w:p w14:paraId="449FD121" w14:textId="220C7B0A" w:rsidR="00893351" w:rsidRPr="00AC7131" w:rsidRDefault="00893351" w:rsidP="00832B9F">
      <w:pPr>
        <w:pStyle w:val="Paragraph"/>
        <w:ind w:left="720"/>
      </w:pPr>
      <w:r w:rsidRPr="00AC7131">
        <w:t>Phillips 66 did not indicate that any of the equipment had a limited lifetime</w:t>
      </w:r>
      <w:r w:rsidR="00E80308">
        <w:t>.</w:t>
      </w:r>
    </w:p>
    <w:p w14:paraId="4226A68C" w14:textId="77777777" w:rsidR="00893351" w:rsidRPr="00AC7131" w:rsidRDefault="00893351" w:rsidP="00832B9F">
      <w:pPr>
        <w:pStyle w:val="Paragraph"/>
      </w:pPr>
      <w:r w:rsidRPr="00AC7131">
        <w:t>Future rule development will follow the RACT process.</w:t>
      </w:r>
    </w:p>
    <w:p w14:paraId="4BBF4201" w14:textId="1D3A6645" w:rsidR="00893351" w:rsidRPr="00085F29" w:rsidRDefault="00893351" w:rsidP="000D4D2A">
      <w:pPr>
        <w:pStyle w:val="Heading5"/>
      </w:pPr>
      <w:bookmarkStart w:id="204" w:name="_Toc49863884"/>
      <w:bookmarkStart w:id="205" w:name="_Toc51673416"/>
      <w:bookmarkStart w:id="206" w:name="_Toc51674438"/>
      <w:r w:rsidRPr="008A47BE">
        <w:t>S</w:t>
      </w:r>
      <w:bookmarkEnd w:id="204"/>
      <w:r w:rsidR="003465E0">
        <w:t>hell</w:t>
      </w:r>
      <w:bookmarkEnd w:id="205"/>
      <w:bookmarkEnd w:id="206"/>
    </w:p>
    <w:p w14:paraId="03540645" w14:textId="01CCF74B" w:rsidR="00893351" w:rsidRDefault="00893351" w:rsidP="00832B9F">
      <w:pPr>
        <w:pStyle w:val="Paragraph"/>
      </w:pPr>
      <w:r>
        <w:t>The</w:t>
      </w:r>
      <w:r w:rsidDel="003D362E">
        <w:t xml:space="preserve"> </w:t>
      </w:r>
      <w:r w:rsidR="003D362E">
        <w:t xml:space="preserve">Shell refinery </w:t>
      </w:r>
      <w:r>
        <w:t>has an average annual processing rate of approximately 145,000 barrels (5.7 million gallons) of crude oil per day.</w:t>
      </w:r>
      <w:r w:rsidR="0067717B">
        <w:t xml:space="preserve"> </w:t>
      </w:r>
      <w:r>
        <w:t>When the refinery first began operating, most of its crude oil came from Canada via pipeline.</w:t>
      </w:r>
      <w:r w:rsidR="0067717B">
        <w:t xml:space="preserve"> </w:t>
      </w:r>
      <w:r>
        <w:t>Although it continues to receive crude from central and western Canada, feedstock also arrives by tanker from oilfields on Alaska's North Slope.</w:t>
      </w:r>
    </w:p>
    <w:p w14:paraId="498139BE" w14:textId="4512A6BF" w:rsidR="00893351" w:rsidRDefault="00893351" w:rsidP="00832B9F">
      <w:pPr>
        <w:pStyle w:val="Paragraph"/>
      </w:pPr>
      <w:r>
        <w:t>On an annual basis, the refinery produces multiple types of gasoline in addition to fuel oil, diesel fuel, propane, jet fuel, butane</w:t>
      </w:r>
      <w:r w:rsidR="00FF29DF">
        <w:t>,</w:t>
      </w:r>
      <w:r>
        <w:t xml:space="preserve"> and petroleum coke.</w:t>
      </w:r>
      <w:r w:rsidR="0067717B">
        <w:t xml:space="preserve"> </w:t>
      </w:r>
      <w:r>
        <w:t xml:space="preserve">It also produces two chemicals---nonene and tetramer---that </w:t>
      </w:r>
      <w:r w:rsidR="00FF29DF">
        <w:t xml:space="preserve">industry uses </w:t>
      </w:r>
      <w:r>
        <w:t>in a variety of plastic products.</w:t>
      </w:r>
      <w:r w:rsidR="0067717B">
        <w:t xml:space="preserve"> </w:t>
      </w:r>
      <w:r>
        <w:t xml:space="preserve">Shell also owns and operates a cogeneration </w:t>
      </w:r>
      <w:r w:rsidR="00477011">
        <w:t>facility on the refinery site.</w:t>
      </w:r>
      <w:r w:rsidR="00FE41EA">
        <w:rPr>
          <w:rStyle w:val="FootnoteReference"/>
        </w:rPr>
        <w:footnoteReference w:id="29"/>
      </w:r>
    </w:p>
    <w:p w14:paraId="10A869DC" w14:textId="1DBE0113" w:rsidR="00893351" w:rsidRDefault="00893351" w:rsidP="00832B9F">
      <w:pPr>
        <w:pStyle w:val="Paragraph"/>
      </w:pPr>
      <w:r>
        <w:t xml:space="preserve">The cogeneration facility was originally the March Point Cogeneration Company (MPCC), which </w:t>
      </w:r>
      <w:r w:rsidR="00370E19">
        <w:t>Puget Sound Refinery (</w:t>
      </w:r>
      <w:r>
        <w:t>PSR</w:t>
      </w:r>
      <w:r w:rsidR="00370E19">
        <w:t>)</w:t>
      </w:r>
      <w:r>
        <w:t xml:space="preserve"> took possession of in February 2010.</w:t>
      </w:r>
      <w:r w:rsidR="0067717B">
        <w:t xml:space="preserve"> </w:t>
      </w:r>
      <w:r>
        <w:t>Air Liquide and Linde operate hydrogen plants on property owned by PSR and adjacent to the refinery.</w:t>
      </w:r>
      <w:r w:rsidR="0067717B">
        <w:t xml:space="preserve"> </w:t>
      </w:r>
      <w:r>
        <w:t>However, both Air Liquide and Linde are independent companies and</w:t>
      </w:r>
      <w:r w:rsidR="00E02730">
        <w:t xml:space="preserve"> </w:t>
      </w:r>
      <w:r>
        <w:t>permitted separately from PSR.</w:t>
      </w:r>
      <w:r w:rsidR="0067717B">
        <w:t xml:space="preserve"> </w:t>
      </w:r>
      <w:r w:rsidR="00721759">
        <w:t>This report does not address e</w:t>
      </w:r>
      <w:r>
        <w:t>mission sources from Air Liquide and Linde</w:t>
      </w:r>
      <w:r w:rsidR="00E02730">
        <w:t xml:space="preserve"> </w:t>
      </w:r>
      <w:r>
        <w:t>in this report.</w:t>
      </w:r>
    </w:p>
    <w:p w14:paraId="1FC7C693" w14:textId="77777777" w:rsidR="00893351" w:rsidRDefault="00893351" w:rsidP="000D4D2A">
      <w:pPr>
        <w:pStyle w:val="Heading6"/>
      </w:pPr>
      <w:bookmarkStart w:id="207" w:name="_Toc49523856"/>
      <w:bookmarkStart w:id="208" w:name="_Toc49863886"/>
      <w:bookmarkStart w:id="209" w:name="_Toc51673417"/>
      <w:r>
        <w:t>Regional Haze, Four Factor Analysis 2020</w:t>
      </w:r>
      <w:bookmarkEnd w:id="207"/>
      <w:bookmarkEnd w:id="208"/>
      <w:bookmarkEnd w:id="209"/>
    </w:p>
    <w:p w14:paraId="4D086806" w14:textId="234189AB" w:rsidR="00893351" w:rsidRDefault="00893351" w:rsidP="00832B9F">
      <w:pPr>
        <w:pStyle w:val="Paragraph"/>
      </w:pPr>
      <w:r>
        <w:t>Shell submitted a FFA to Ecology in April 2020.</w:t>
      </w:r>
      <w:r w:rsidR="0067717B">
        <w:t xml:space="preserve"> </w:t>
      </w:r>
      <w:r w:rsidDel="00721759">
        <w:t>Trinity Consultants</w:t>
      </w:r>
      <w:r w:rsidR="00721759">
        <w:t xml:space="preserve"> prepared it</w:t>
      </w:r>
      <w:r>
        <w:t>.</w:t>
      </w:r>
      <w:r w:rsidR="0067717B">
        <w:t xml:space="preserve"> </w:t>
      </w:r>
      <w:r>
        <w:t>Ecology performed an analysis and concluded that</w:t>
      </w:r>
      <w:r w:rsidR="00721759">
        <w:t xml:space="preserve"> Trinity Consultants based the</w:t>
      </w:r>
      <w:r>
        <w:t xml:space="preserve"> technical data used in the review on the EPA SCR cost manual and </w:t>
      </w:r>
      <w:r w:rsidDel="00721759">
        <w:t>site</w:t>
      </w:r>
      <w:r w:rsidR="00721759">
        <w:t>-specific</w:t>
      </w:r>
      <w:r>
        <w:t xml:space="preserve"> cost data.</w:t>
      </w:r>
      <w:r w:rsidR="0067717B">
        <w:t xml:space="preserve"> </w:t>
      </w:r>
      <w:r>
        <w:t xml:space="preserve">The cost of installing SCR’s has </w:t>
      </w:r>
      <w:r w:rsidR="00E80308">
        <w:t xml:space="preserve">decreased </w:t>
      </w:r>
      <w:r>
        <w:t>substantially over the last decade.</w:t>
      </w:r>
      <w:r w:rsidR="0067717B">
        <w:t xml:space="preserve"> </w:t>
      </w:r>
      <w:r>
        <w:t xml:space="preserve">Shell has a </w:t>
      </w:r>
      <w:r w:rsidDel="00721759">
        <w:t xml:space="preserve">FCCU </w:t>
      </w:r>
      <w:r w:rsidR="00721759">
        <w:t>for which</w:t>
      </w:r>
      <w:r>
        <w:t xml:space="preserve"> they did not supply cost data. The</w:t>
      </w:r>
      <w:r w:rsidR="00721759">
        <w:t xml:space="preserve"> FFA assumed</w:t>
      </w:r>
      <w:r>
        <w:t xml:space="preserve"> </w:t>
      </w:r>
      <w:r w:rsidR="00721759">
        <w:t xml:space="preserve">that the </w:t>
      </w:r>
      <w:r>
        <w:t xml:space="preserve">Erie </w:t>
      </w:r>
      <w:r w:rsidR="00522DD1">
        <w:t>C</w:t>
      </w:r>
      <w:r>
        <w:t>ity boiler</w:t>
      </w:r>
      <w:r w:rsidR="00E02730">
        <w:t xml:space="preserve"> </w:t>
      </w:r>
      <w:r>
        <w:t xml:space="preserve">to only have an </w:t>
      </w:r>
      <w:r w:rsidDel="00721759">
        <w:t>eight</w:t>
      </w:r>
      <w:r w:rsidR="00721759">
        <w:t>-year</w:t>
      </w:r>
      <w:r>
        <w:t xml:space="preserve"> life expectancy.</w:t>
      </w:r>
      <w:r w:rsidR="0067717B">
        <w:t xml:space="preserve"> </w:t>
      </w:r>
      <w:r>
        <w:t>Shell has three power turbines with SCR installed.</w:t>
      </w:r>
      <w:r w:rsidR="0067717B">
        <w:t xml:space="preserve"> </w:t>
      </w:r>
      <w:r>
        <w:t>The current turbines</w:t>
      </w:r>
      <w:r w:rsidR="00402210">
        <w:t xml:space="preserve"> </w:t>
      </w:r>
      <w:r w:rsidR="00522DD1">
        <w:t xml:space="preserve">have specifications indicating </w:t>
      </w:r>
      <w:r w:rsidR="00721759">
        <w:t>emissions</w:t>
      </w:r>
      <w:r w:rsidR="00522DD1">
        <w:t xml:space="preserve"> can be </w:t>
      </w:r>
      <w:r>
        <w:t xml:space="preserve">2 to 3 times lower than </w:t>
      </w:r>
      <w:r w:rsidR="00522DD1">
        <w:t>current permit values</w:t>
      </w:r>
      <w:r>
        <w:t>.</w:t>
      </w:r>
      <w:r w:rsidR="0067717B">
        <w:t xml:space="preserve"> </w:t>
      </w:r>
      <w:r>
        <w:t xml:space="preserve">Ecology is </w:t>
      </w:r>
      <w:r>
        <w:lastRenderedPageBreak/>
        <w:t xml:space="preserve">recommending an engineering study </w:t>
      </w:r>
      <w:r w:rsidR="0006202C">
        <w:t>of the turbines to establish an optimized system to limit emissions to the maximum practical extent.</w:t>
      </w:r>
    </w:p>
    <w:p w14:paraId="23E6EB78" w14:textId="5058218D" w:rsidR="00893351" w:rsidRDefault="00893351" w:rsidP="00832B9F">
      <w:pPr>
        <w:pStyle w:val="Paragraph"/>
      </w:pPr>
      <w:r>
        <w:t>Shell’s cost was approximately two to five times that of the EPA SCR cost manual</w:t>
      </w:r>
      <w:r w:rsidR="00721759">
        <w:t>.</w:t>
      </w:r>
      <w:r>
        <w:t xml:space="preserve"> </w:t>
      </w:r>
      <w:r w:rsidR="00721759">
        <w:t>T</w:t>
      </w:r>
      <w:r>
        <w:t>herefore</w:t>
      </w:r>
      <w:r w:rsidR="00721759">
        <w:t>,</w:t>
      </w:r>
      <w:r>
        <w:t xml:space="preserve"> </w:t>
      </w:r>
      <w:r w:rsidR="00402210">
        <w:t>E</w:t>
      </w:r>
      <w:r>
        <w:t xml:space="preserve">cology could not </w:t>
      </w:r>
      <w:r w:rsidR="00522DD1">
        <w:t>reconcile</w:t>
      </w:r>
      <w:r>
        <w:t xml:space="preserve"> BP’s cost data</w:t>
      </w:r>
      <w:r w:rsidR="00E8385E">
        <w:t>.</w:t>
      </w:r>
      <w:r w:rsidR="00E8385E">
        <w:rPr>
          <w:strike/>
        </w:rPr>
        <w:t xml:space="preserve"> </w:t>
      </w:r>
      <w:r w:rsidR="00BA40E4" w:rsidRPr="00E8385E">
        <w:t xml:space="preserve">As stated in the above BP section, </w:t>
      </w:r>
      <w:r w:rsidR="00370E19">
        <w:t>E</w:t>
      </w:r>
      <w:r w:rsidR="00BA40E4" w:rsidRPr="00E8385E">
        <w:t>cology will be using EPA’s SCR cost manual to estimate costs</w:t>
      </w:r>
    </w:p>
    <w:p w14:paraId="620BF5BF" w14:textId="325BA659" w:rsidR="000D4D2A" w:rsidRDefault="000D4D2A" w:rsidP="000D4D2A">
      <w:pPr>
        <w:pStyle w:val="Caption"/>
        <w:keepNext/>
        <w:spacing w:after="0"/>
      </w:pPr>
      <w:bookmarkStart w:id="210" w:name="_Toc51675386"/>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15</w:t>
      </w:r>
      <w:r w:rsidR="00F45623">
        <w:rPr>
          <w:noProof/>
        </w:rPr>
        <w:fldChar w:fldCharType="end"/>
      </w:r>
      <w:r>
        <w:t xml:space="preserve">: </w:t>
      </w:r>
      <w:r w:rsidR="00E51452">
        <w:t>Shell equipment i</w:t>
      </w:r>
      <w:r w:rsidRPr="00B039F3">
        <w:t>dentifie</w:t>
      </w:r>
      <w:r w:rsidR="00E51452">
        <w:t>d for RACT r</w:t>
      </w:r>
      <w:r w:rsidRPr="00B039F3">
        <w:t xml:space="preserve">ule </w:t>
      </w:r>
      <w:r w:rsidR="00E51452">
        <w:t>d</w:t>
      </w:r>
      <w:r w:rsidRPr="00B039F3">
        <w:t>evelopment</w:t>
      </w:r>
      <w:bookmarkEnd w:id="210"/>
    </w:p>
    <w:tbl>
      <w:tblPr>
        <w:tblStyle w:val="TableGrid"/>
        <w:tblW w:w="5000" w:type="pct"/>
        <w:tblLook w:val="04A0" w:firstRow="1" w:lastRow="0" w:firstColumn="1" w:lastColumn="0" w:noHBand="0" w:noVBand="1"/>
      </w:tblPr>
      <w:tblGrid>
        <w:gridCol w:w="1219"/>
        <w:gridCol w:w="2240"/>
        <w:gridCol w:w="1124"/>
        <w:gridCol w:w="1098"/>
        <w:gridCol w:w="1146"/>
        <w:gridCol w:w="2523"/>
      </w:tblGrid>
      <w:tr w:rsidR="00893351" w:rsidRPr="000C30B4" w14:paraId="015442BA" w14:textId="77777777" w:rsidTr="00810C9B">
        <w:trPr>
          <w:trHeight w:val="300"/>
          <w:tblHeader/>
        </w:trPr>
        <w:tc>
          <w:tcPr>
            <w:tcW w:w="652" w:type="pct"/>
            <w:vAlign w:val="center"/>
            <w:hideMark/>
          </w:tcPr>
          <w:p w14:paraId="086087A6" w14:textId="77777777" w:rsidR="00893351" w:rsidRPr="000D4D2A" w:rsidRDefault="00893351" w:rsidP="000D4D2A">
            <w:pPr>
              <w:pStyle w:val="TableParagraph"/>
              <w:rPr>
                <w:b/>
              </w:rPr>
            </w:pPr>
            <w:r w:rsidRPr="000D4D2A">
              <w:rPr>
                <w:b/>
              </w:rPr>
              <w:t>Company</w:t>
            </w:r>
          </w:p>
        </w:tc>
        <w:tc>
          <w:tcPr>
            <w:tcW w:w="1198" w:type="pct"/>
            <w:vAlign w:val="center"/>
            <w:hideMark/>
          </w:tcPr>
          <w:p w14:paraId="7A409E54" w14:textId="77777777" w:rsidR="00893351" w:rsidRPr="000D4D2A" w:rsidRDefault="00893351" w:rsidP="000D4D2A">
            <w:pPr>
              <w:pStyle w:val="TableParagraph"/>
              <w:rPr>
                <w:b/>
              </w:rPr>
            </w:pPr>
            <w:r w:rsidRPr="000D4D2A">
              <w:rPr>
                <w:b/>
              </w:rPr>
              <w:t>Equipment</w:t>
            </w:r>
          </w:p>
        </w:tc>
        <w:tc>
          <w:tcPr>
            <w:tcW w:w="601" w:type="pct"/>
            <w:vAlign w:val="center"/>
            <w:hideMark/>
          </w:tcPr>
          <w:p w14:paraId="1C06F11B" w14:textId="77777777" w:rsidR="00893351" w:rsidRPr="000D4D2A" w:rsidRDefault="00893351" w:rsidP="000D4D2A">
            <w:pPr>
              <w:pStyle w:val="TableParagraph"/>
              <w:rPr>
                <w:b/>
              </w:rPr>
            </w:pPr>
            <w:r w:rsidRPr="000D4D2A">
              <w:rPr>
                <w:b/>
              </w:rPr>
              <w:t>EPA Model</w:t>
            </w:r>
            <w:r w:rsidRPr="000D4D2A">
              <w:rPr>
                <w:b/>
              </w:rPr>
              <w:br/>
              <w:t>$/Ton</w:t>
            </w:r>
          </w:p>
        </w:tc>
        <w:tc>
          <w:tcPr>
            <w:tcW w:w="587" w:type="pct"/>
            <w:vAlign w:val="center"/>
            <w:hideMark/>
          </w:tcPr>
          <w:p w14:paraId="515C648F" w14:textId="77777777" w:rsidR="00893351" w:rsidRPr="000D4D2A" w:rsidRDefault="00893351" w:rsidP="000D4D2A">
            <w:pPr>
              <w:pStyle w:val="TableParagraph"/>
              <w:rPr>
                <w:b/>
              </w:rPr>
            </w:pPr>
            <w:r w:rsidRPr="000D4D2A">
              <w:rPr>
                <w:b/>
              </w:rPr>
              <w:t>Refinery</w:t>
            </w:r>
            <w:r w:rsidRPr="000D4D2A">
              <w:rPr>
                <w:b/>
              </w:rPr>
              <w:br/>
              <w:t>$/Ton</w:t>
            </w:r>
          </w:p>
        </w:tc>
        <w:tc>
          <w:tcPr>
            <w:tcW w:w="613" w:type="pct"/>
            <w:vAlign w:val="center"/>
            <w:hideMark/>
          </w:tcPr>
          <w:p w14:paraId="608AB44A" w14:textId="77777777" w:rsidR="00893351" w:rsidRPr="000D4D2A" w:rsidRDefault="00893351" w:rsidP="000D4D2A">
            <w:pPr>
              <w:pStyle w:val="TableParagraph"/>
              <w:rPr>
                <w:b/>
              </w:rPr>
            </w:pPr>
            <w:r w:rsidRPr="000D4D2A">
              <w:rPr>
                <w:b/>
              </w:rPr>
              <w:t>TPY</w:t>
            </w:r>
            <w:r w:rsidRPr="000D4D2A">
              <w:rPr>
                <w:b/>
              </w:rPr>
              <w:br/>
              <w:t>Reduced</w:t>
            </w:r>
          </w:p>
        </w:tc>
        <w:tc>
          <w:tcPr>
            <w:tcW w:w="1350" w:type="pct"/>
            <w:vAlign w:val="center"/>
            <w:hideMark/>
          </w:tcPr>
          <w:p w14:paraId="44335BC4" w14:textId="77777777" w:rsidR="00893351" w:rsidRPr="000D4D2A" w:rsidRDefault="00893351" w:rsidP="000D4D2A">
            <w:pPr>
              <w:pStyle w:val="TableParagraph"/>
              <w:rPr>
                <w:b/>
              </w:rPr>
            </w:pPr>
            <w:r w:rsidRPr="000D4D2A">
              <w:rPr>
                <w:b/>
              </w:rPr>
              <w:t>Comment</w:t>
            </w:r>
          </w:p>
        </w:tc>
      </w:tr>
      <w:tr w:rsidR="00893351" w:rsidRPr="000C30B4" w14:paraId="2DA02137" w14:textId="77777777" w:rsidTr="00810C9B">
        <w:trPr>
          <w:trHeight w:val="300"/>
        </w:trPr>
        <w:tc>
          <w:tcPr>
            <w:tcW w:w="652" w:type="pct"/>
            <w:vAlign w:val="center"/>
            <w:hideMark/>
          </w:tcPr>
          <w:p w14:paraId="189088DA" w14:textId="7F96803E" w:rsidR="00893351" w:rsidRPr="000C30B4" w:rsidRDefault="00810C9B" w:rsidP="000D4D2A">
            <w:pPr>
              <w:pStyle w:val="TableParagraph"/>
            </w:pPr>
            <w:r>
              <w:t>Shell</w:t>
            </w:r>
          </w:p>
        </w:tc>
        <w:tc>
          <w:tcPr>
            <w:tcW w:w="1198" w:type="pct"/>
            <w:vAlign w:val="center"/>
            <w:hideMark/>
          </w:tcPr>
          <w:p w14:paraId="7BDEDE45" w14:textId="097C48D6" w:rsidR="00893351" w:rsidRPr="000C30B4" w:rsidRDefault="00810C9B" w:rsidP="00810C9B">
            <w:pPr>
              <w:pStyle w:val="TableParagraph"/>
            </w:pPr>
            <w:r>
              <w:t>Boiler</w:t>
            </w:r>
            <w:r w:rsidR="00893351" w:rsidRPr="000C30B4">
              <w:t xml:space="preserve"> #1 </w:t>
            </w:r>
            <w:r>
              <w:t>Erie City</w:t>
            </w:r>
            <w:r w:rsidR="00893351" w:rsidRPr="000C30B4">
              <w:t>--31G-F1</w:t>
            </w:r>
          </w:p>
        </w:tc>
        <w:tc>
          <w:tcPr>
            <w:tcW w:w="601" w:type="pct"/>
            <w:vAlign w:val="center"/>
            <w:hideMark/>
          </w:tcPr>
          <w:p w14:paraId="300208EC" w14:textId="77777777" w:rsidR="00893351" w:rsidRPr="000C30B4" w:rsidRDefault="00893351" w:rsidP="000D4D2A">
            <w:pPr>
              <w:pStyle w:val="TableParagraph"/>
            </w:pPr>
            <w:r w:rsidRPr="000C30B4">
              <w:t>2,4</w:t>
            </w:r>
            <w:r>
              <w:t>41</w:t>
            </w:r>
            <w:r w:rsidRPr="000C30B4">
              <w:t xml:space="preserve"> </w:t>
            </w:r>
          </w:p>
        </w:tc>
        <w:tc>
          <w:tcPr>
            <w:tcW w:w="587" w:type="pct"/>
            <w:vAlign w:val="center"/>
            <w:hideMark/>
          </w:tcPr>
          <w:p w14:paraId="591D0DBD" w14:textId="77777777" w:rsidR="00893351" w:rsidRPr="000C30B4" w:rsidRDefault="00893351" w:rsidP="000D4D2A">
            <w:pPr>
              <w:pStyle w:val="TableParagraph"/>
            </w:pPr>
            <w:r w:rsidRPr="000C30B4">
              <w:t xml:space="preserve">12,511 </w:t>
            </w:r>
          </w:p>
        </w:tc>
        <w:tc>
          <w:tcPr>
            <w:tcW w:w="613" w:type="pct"/>
            <w:vAlign w:val="center"/>
            <w:hideMark/>
          </w:tcPr>
          <w:p w14:paraId="4AA4FADA" w14:textId="77777777" w:rsidR="00893351" w:rsidRPr="000C30B4" w:rsidRDefault="00893351" w:rsidP="000D4D2A">
            <w:pPr>
              <w:pStyle w:val="TableParagraph"/>
            </w:pPr>
            <w:r w:rsidRPr="000C30B4">
              <w:t xml:space="preserve">179 </w:t>
            </w:r>
          </w:p>
        </w:tc>
        <w:tc>
          <w:tcPr>
            <w:tcW w:w="1350" w:type="pct"/>
            <w:vAlign w:val="center"/>
            <w:hideMark/>
          </w:tcPr>
          <w:p w14:paraId="36386C51" w14:textId="77777777" w:rsidR="00893351" w:rsidRPr="000C30B4" w:rsidRDefault="00893351" w:rsidP="000D4D2A">
            <w:pPr>
              <w:pStyle w:val="TableParagraph"/>
            </w:pPr>
            <w:r w:rsidRPr="000C30B4">
              <w:t>8</w:t>
            </w:r>
            <w:r>
              <w:t>-</w:t>
            </w:r>
            <w:r w:rsidRPr="000C30B4">
              <w:t>yr life</w:t>
            </w:r>
          </w:p>
        </w:tc>
      </w:tr>
      <w:tr w:rsidR="00810C9B" w:rsidRPr="000C30B4" w14:paraId="711907AA" w14:textId="77777777" w:rsidTr="00810C9B">
        <w:trPr>
          <w:trHeight w:val="300"/>
        </w:trPr>
        <w:tc>
          <w:tcPr>
            <w:tcW w:w="652" w:type="pct"/>
            <w:vAlign w:val="center"/>
            <w:hideMark/>
          </w:tcPr>
          <w:p w14:paraId="732700E3" w14:textId="14CCF6BD" w:rsidR="00810C9B" w:rsidRPr="000C30B4" w:rsidRDefault="00810C9B" w:rsidP="00810C9B">
            <w:pPr>
              <w:pStyle w:val="TableParagraph"/>
            </w:pPr>
            <w:r w:rsidRPr="00BC582D">
              <w:t>Shell</w:t>
            </w:r>
          </w:p>
        </w:tc>
        <w:tc>
          <w:tcPr>
            <w:tcW w:w="1198" w:type="pct"/>
            <w:vAlign w:val="center"/>
            <w:hideMark/>
          </w:tcPr>
          <w:p w14:paraId="3A59F05D" w14:textId="77777777" w:rsidR="00810C9B" w:rsidRPr="000C30B4" w:rsidRDefault="00810C9B" w:rsidP="00810C9B">
            <w:pPr>
              <w:pStyle w:val="TableParagraph"/>
            </w:pPr>
            <w:r w:rsidRPr="000C30B4">
              <w:t>Cogen turbine 1 MW</w:t>
            </w:r>
          </w:p>
        </w:tc>
        <w:tc>
          <w:tcPr>
            <w:tcW w:w="601" w:type="pct"/>
            <w:vAlign w:val="center"/>
            <w:hideMark/>
          </w:tcPr>
          <w:p w14:paraId="2766E8D8" w14:textId="77777777" w:rsidR="00810C9B" w:rsidRPr="000C30B4" w:rsidRDefault="00810C9B" w:rsidP="00810C9B">
            <w:pPr>
              <w:pStyle w:val="TableParagraph"/>
            </w:pPr>
            <w:r>
              <w:t>---</w:t>
            </w:r>
          </w:p>
        </w:tc>
        <w:tc>
          <w:tcPr>
            <w:tcW w:w="587" w:type="pct"/>
            <w:vAlign w:val="center"/>
            <w:hideMark/>
          </w:tcPr>
          <w:p w14:paraId="31FF5DC4" w14:textId="77777777" w:rsidR="00810C9B" w:rsidRPr="000C30B4" w:rsidRDefault="00810C9B" w:rsidP="00810C9B">
            <w:pPr>
              <w:pStyle w:val="TableParagraph"/>
            </w:pPr>
            <w:r>
              <w:t>---</w:t>
            </w:r>
          </w:p>
        </w:tc>
        <w:tc>
          <w:tcPr>
            <w:tcW w:w="613" w:type="pct"/>
            <w:vAlign w:val="center"/>
            <w:hideMark/>
          </w:tcPr>
          <w:p w14:paraId="2CBD03FE" w14:textId="77777777" w:rsidR="00810C9B" w:rsidRPr="000C30B4" w:rsidRDefault="00810C9B" w:rsidP="00810C9B">
            <w:pPr>
              <w:pStyle w:val="TableParagraph"/>
            </w:pPr>
            <w:r>
              <w:t>---</w:t>
            </w:r>
          </w:p>
        </w:tc>
        <w:tc>
          <w:tcPr>
            <w:tcW w:w="1350" w:type="pct"/>
            <w:vAlign w:val="center"/>
            <w:hideMark/>
          </w:tcPr>
          <w:p w14:paraId="6A4EEE4E" w14:textId="77777777" w:rsidR="00810C9B" w:rsidRPr="000C30B4" w:rsidRDefault="00810C9B" w:rsidP="00810C9B">
            <w:pPr>
              <w:pStyle w:val="TableParagraph"/>
            </w:pPr>
            <w:r w:rsidRPr="000C30B4">
              <w:t>Current SCR controls –</w:t>
            </w:r>
            <w:r>
              <w:t xml:space="preserve"> </w:t>
            </w:r>
            <w:r w:rsidRPr="000C30B4">
              <w:t>Study</w:t>
            </w:r>
          </w:p>
        </w:tc>
      </w:tr>
      <w:tr w:rsidR="00810C9B" w:rsidRPr="000C30B4" w14:paraId="06772639" w14:textId="77777777" w:rsidTr="00810C9B">
        <w:trPr>
          <w:trHeight w:val="300"/>
        </w:trPr>
        <w:tc>
          <w:tcPr>
            <w:tcW w:w="652" w:type="pct"/>
            <w:vAlign w:val="center"/>
            <w:hideMark/>
          </w:tcPr>
          <w:p w14:paraId="68480316" w14:textId="3FB34C89" w:rsidR="00810C9B" w:rsidRPr="000C30B4" w:rsidRDefault="00810C9B" w:rsidP="00810C9B">
            <w:pPr>
              <w:pStyle w:val="TableParagraph"/>
            </w:pPr>
            <w:r w:rsidRPr="00BC582D">
              <w:t>Shell</w:t>
            </w:r>
          </w:p>
        </w:tc>
        <w:tc>
          <w:tcPr>
            <w:tcW w:w="1198" w:type="pct"/>
            <w:vAlign w:val="center"/>
            <w:hideMark/>
          </w:tcPr>
          <w:p w14:paraId="2DAB466C" w14:textId="77777777" w:rsidR="00810C9B" w:rsidRPr="000C30B4" w:rsidRDefault="00810C9B" w:rsidP="00810C9B">
            <w:pPr>
              <w:pStyle w:val="TableParagraph"/>
            </w:pPr>
            <w:r w:rsidRPr="000C30B4">
              <w:t>Cogen turbine 2 MW</w:t>
            </w:r>
          </w:p>
        </w:tc>
        <w:tc>
          <w:tcPr>
            <w:tcW w:w="601" w:type="pct"/>
            <w:vAlign w:val="center"/>
            <w:hideMark/>
          </w:tcPr>
          <w:p w14:paraId="1EB97880" w14:textId="77777777" w:rsidR="00810C9B" w:rsidRPr="000C30B4" w:rsidRDefault="00810C9B" w:rsidP="00810C9B">
            <w:pPr>
              <w:pStyle w:val="TableParagraph"/>
            </w:pPr>
            <w:r>
              <w:t>---</w:t>
            </w:r>
          </w:p>
        </w:tc>
        <w:tc>
          <w:tcPr>
            <w:tcW w:w="587" w:type="pct"/>
            <w:vAlign w:val="center"/>
            <w:hideMark/>
          </w:tcPr>
          <w:p w14:paraId="4C50831E" w14:textId="77777777" w:rsidR="00810C9B" w:rsidRPr="000C30B4" w:rsidRDefault="00810C9B" w:rsidP="00810C9B">
            <w:pPr>
              <w:pStyle w:val="TableParagraph"/>
            </w:pPr>
            <w:r>
              <w:t>---</w:t>
            </w:r>
          </w:p>
        </w:tc>
        <w:tc>
          <w:tcPr>
            <w:tcW w:w="613" w:type="pct"/>
            <w:vAlign w:val="center"/>
            <w:hideMark/>
          </w:tcPr>
          <w:p w14:paraId="47C2EDB7" w14:textId="77777777" w:rsidR="00810C9B" w:rsidRPr="000C30B4" w:rsidRDefault="00810C9B" w:rsidP="00810C9B">
            <w:pPr>
              <w:pStyle w:val="TableParagraph"/>
            </w:pPr>
            <w:r>
              <w:t>---</w:t>
            </w:r>
          </w:p>
        </w:tc>
        <w:tc>
          <w:tcPr>
            <w:tcW w:w="1350" w:type="pct"/>
            <w:vAlign w:val="center"/>
          </w:tcPr>
          <w:p w14:paraId="1C265AD4" w14:textId="77777777" w:rsidR="00810C9B" w:rsidRPr="000C30B4" w:rsidRDefault="00810C9B" w:rsidP="00810C9B">
            <w:pPr>
              <w:pStyle w:val="TableParagraph"/>
            </w:pPr>
            <w:r w:rsidRPr="000C30B4">
              <w:t>Current SCR controls –</w:t>
            </w:r>
            <w:r>
              <w:t xml:space="preserve"> </w:t>
            </w:r>
            <w:r w:rsidRPr="000C30B4">
              <w:t>Study</w:t>
            </w:r>
          </w:p>
        </w:tc>
      </w:tr>
      <w:tr w:rsidR="00810C9B" w:rsidRPr="000C30B4" w14:paraId="4465533A" w14:textId="77777777" w:rsidTr="00810C9B">
        <w:trPr>
          <w:trHeight w:val="300"/>
        </w:trPr>
        <w:tc>
          <w:tcPr>
            <w:tcW w:w="652" w:type="pct"/>
            <w:vAlign w:val="center"/>
            <w:hideMark/>
          </w:tcPr>
          <w:p w14:paraId="24021CD2" w14:textId="0025CB83" w:rsidR="00810C9B" w:rsidRPr="000C30B4" w:rsidRDefault="00810C9B" w:rsidP="00810C9B">
            <w:pPr>
              <w:pStyle w:val="TableParagraph"/>
            </w:pPr>
            <w:r w:rsidRPr="00BC582D">
              <w:t>Shell</w:t>
            </w:r>
          </w:p>
        </w:tc>
        <w:tc>
          <w:tcPr>
            <w:tcW w:w="1198" w:type="pct"/>
            <w:vAlign w:val="center"/>
            <w:hideMark/>
          </w:tcPr>
          <w:p w14:paraId="00185C0A" w14:textId="77777777" w:rsidR="00810C9B" w:rsidRPr="000C30B4" w:rsidRDefault="00810C9B" w:rsidP="00810C9B">
            <w:pPr>
              <w:pStyle w:val="TableParagraph"/>
            </w:pPr>
            <w:r w:rsidRPr="000C30B4">
              <w:t>Cogen turbine 3 MW</w:t>
            </w:r>
          </w:p>
        </w:tc>
        <w:tc>
          <w:tcPr>
            <w:tcW w:w="601" w:type="pct"/>
            <w:vAlign w:val="center"/>
            <w:hideMark/>
          </w:tcPr>
          <w:p w14:paraId="418FA481" w14:textId="77777777" w:rsidR="00810C9B" w:rsidRPr="000C30B4" w:rsidRDefault="00810C9B" w:rsidP="00810C9B">
            <w:pPr>
              <w:pStyle w:val="TableParagraph"/>
            </w:pPr>
            <w:r>
              <w:t>---</w:t>
            </w:r>
          </w:p>
        </w:tc>
        <w:tc>
          <w:tcPr>
            <w:tcW w:w="587" w:type="pct"/>
            <w:vAlign w:val="center"/>
            <w:hideMark/>
          </w:tcPr>
          <w:p w14:paraId="3EA6BD89" w14:textId="77777777" w:rsidR="00810C9B" w:rsidRPr="000C30B4" w:rsidRDefault="00810C9B" w:rsidP="00810C9B">
            <w:pPr>
              <w:pStyle w:val="TableParagraph"/>
            </w:pPr>
            <w:r>
              <w:t>---</w:t>
            </w:r>
          </w:p>
        </w:tc>
        <w:tc>
          <w:tcPr>
            <w:tcW w:w="613" w:type="pct"/>
            <w:vAlign w:val="center"/>
            <w:hideMark/>
          </w:tcPr>
          <w:p w14:paraId="1DC1FBA0" w14:textId="77777777" w:rsidR="00810C9B" w:rsidRPr="000C30B4" w:rsidRDefault="00810C9B" w:rsidP="00810C9B">
            <w:pPr>
              <w:pStyle w:val="TableParagraph"/>
            </w:pPr>
            <w:r>
              <w:t>---</w:t>
            </w:r>
          </w:p>
        </w:tc>
        <w:tc>
          <w:tcPr>
            <w:tcW w:w="1350" w:type="pct"/>
            <w:vAlign w:val="center"/>
          </w:tcPr>
          <w:p w14:paraId="35DEEE36" w14:textId="77777777" w:rsidR="00810C9B" w:rsidRPr="000C30B4" w:rsidRDefault="00810C9B" w:rsidP="00810C9B">
            <w:pPr>
              <w:pStyle w:val="TableParagraph"/>
            </w:pPr>
            <w:r w:rsidRPr="000C30B4">
              <w:t>Current SCR controls –</w:t>
            </w:r>
            <w:r>
              <w:t xml:space="preserve"> </w:t>
            </w:r>
            <w:r w:rsidRPr="000C30B4">
              <w:t>Study</w:t>
            </w:r>
          </w:p>
        </w:tc>
      </w:tr>
      <w:tr w:rsidR="00810C9B" w:rsidRPr="000C30B4" w14:paraId="14C73B23" w14:textId="77777777" w:rsidTr="00810C9B">
        <w:trPr>
          <w:trHeight w:val="300"/>
        </w:trPr>
        <w:tc>
          <w:tcPr>
            <w:tcW w:w="652" w:type="pct"/>
            <w:vAlign w:val="center"/>
            <w:hideMark/>
          </w:tcPr>
          <w:p w14:paraId="7E36A817" w14:textId="3E5BE64E" w:rsidR="00810C9B" w:rsidRPr="000C30B4" w:rsidRDefault="00810C9B" w:rsidP="00810C9B">
            <w:pPr>
              <w:pStyle w:val="TableParagraph"/>
            </w:pPr>
            <w:r w:rsidRPr="00BC582D">
              <w:t>Shell</w:t>
            </w:r>
          </w:p>
        </w:tc>
        <w:tc>
          <w:tcPr>
            <w:tcW w:w="1198" w:type="pct"/>
            <w:vAlign w:val="center"/>
            <w:hideMark/>
          </w:tcPr>
          <w:p w14:paraId="11DB7A43" w14:textId="70A7B498" w:rsidR="00810C9B" w:rsidRPr="000C30B4" w:rsidRDefault="00810C9B" w:rsidP="00810C9B">
            <w:pPr>
              <w:pStyle w:val="TableParagraph"/>
            </w:pPr>
            <w:r w:rsidRPr="000C30B4">
              <w:t xml:space="preserve">FCCU </w:t>
            </w:r>
            <w:r>
              <w:t>Regenerator Unit</w:t>
            </w:r>
          </w:p>
        </w:tc>
        <w:tc>
          <w:tcPr>
            <w:tcW w:w="601" w:type="pct"/>
            <w:vAlign w:val="center"/>
            <w:hideMark/>
          </w:tcPr>
          <w:p w14:paraId="2BEE1237" w14:textId="77777777" w:rsidR="00810C9B" w:rsidRPr="000C30B4" w:rsidRDefault="00810C9B" w:rsidP="00810C9B">
            <w:pPr>
              <w:pStyle w:val="TableParagraph"/>
            </w:pPr>
            <w:r>
              <w:t>1,948</w:t>
            </w:r>
            <w:r w:rsidRPr="000C30B4">
              <w:t xml:space="preserve"> </w:t>
            </w:r>
          </w:p>
        </w:tc>
        <w:tc>
          <w:tcPr>
            <w:tcW w:w="587" w:type="pct"/>
            <w:vAlign w:val="center"/>
            <w:hideMark/>
          </w:tcPr>
          <w:p w14:paraId="673D9275" w14:textId="77777777" w:rsidR="00810C9B" w:rsidRPr="000C30B4" w:rsidRDefault="00810C9B" w:rsidP="00810C9B">
            <w:pPr>
              <w:pStyle w:val="TableParagraph"/>
            </w:pPr>
            <w:r>
              <w:t>---</w:t>
            </w:r>
          </w:p>
        </w:tc>
        <w:tc>
          <w:tcPr>
            <w:tcW w:w="613" w:type="pct"/>
            <w:vAlign w:val="center"/>
            <w:hideMark/>
          </w:tcPr>
          <w:p w14:paraId="40288179" w14:textId="77777777" w:rsidR="00810C9B" w:rsidRPr="000C30B4" w:rsidRDefault="00810C9B" w:rsidP="00810C9B">
            <w:pPr>
              <w:pStyle w:val="TableParagraph"/>
            </w:pPr>
            <w:r w:rsidRPr="000C30B4">
              <w:t xml:space="preserve">521 </w:t>
            </w:r>
          </w:p>
        </w:tc>
        <w:tc>
          <w:tcPr>
            <w:tcW w:w="1350" w:type="pct"/>
            <w:vAlign w:val="center"/>
            <w:hideMark/>
          </w:tcPr>
          <w:p w14:paraId="6CFBD92B" w14:textId="77777777" w:rsidR="00810C9B" w:rsidRPr="000C30B4" w:rsidRDefault="00810C9B" w:rsidP="00810C9B">
            <w:pPr>
              <w:pStyle w:val="TableParagraph"/>
            </w:pPr>
            <w:r w:rsidRPr="000C30B4">
              <w:t> </w:t>
            </w:r>
          </w:p>
        </w:tc>
      </w:tr>
      <w:tr w:rsidR="00810C9B" w:rsidRPr="000C30B4" w14:paraId="7F2B79DC" w14:textId="77777777" w:rsidTr="00810C9B">
        <w:trPr>
          <w:trHeight w:val="300"/>
        </w:trPr>
        <w:tc>
          <w:tcPr>
            <w:tcW w:w="652" w:type="pct"/>
            <w:vAlign w:val="center"/>
            <w:hideMark/>
          </w:tcPr>
          <w:p w14:paraId="3A347293" w14:textId="7D758A4A" w:rsidR="00810C9B" w:rsidRPr="000C30B4" w:rsidRDefault="00810C9B" w:rsidP="00810C9B">
            <w:pPr>
              <w:pStyle w:val="TableParagraph"/>
            </w:pPr>
            <w:r w:rsidRPr="00BC582D">
              <w:t>Shell</w:t>
            </w:r>
          </w:p>
        </w:tc>
        <w:tc>
          <w:tcPr>
            <w:tcW w:w="1198" w:type="pct"/>
            <w:vAlign w:val="center"/>
            <w:hideMark/>
          </w:tcPr>
          <w:p w14:paraId="091C4879" w14:textId="77777777" w:rsidR="00810C9B" w:rsidRPr="000C30B4" w:rsidRDefault="00810C9B" w:rsidP="00810C9B">
            <w:pPr>
              <w:pStyle w:val="TableParagraph"/>
            </w:pPr>
            <w:r w:rsidRPr="000C30B4">
              <w:t>CRU #2 HTR, INTERHTR--10H-101,102,103</w:t>
            </w:r>
          </w:p>
        </w:tc>
        <w:tc>
          <w:tcPr>
            <w:tcW w:w="601" w:type="pct"/>
            <w:vAlign w:val="center"/>
            <w:hideMark/>
          </w:tcPr>
          <w:p w14:paraId="1D14FFFC" w14:textId="77777777" w:rsidR="00810C9B" w:rsidRPr="000C30B4" w:rsidRDefault="00810C9B" w:rsidP="00810C9B">
            <w:pPr>
              <w:pStyle w:val="TableParagraph"/>
            </w:pPr>
            <w:r w:rsidRPr="000C30B4">
              <w:t>6,3</w:t>
            </w:r>
            <w:r>
              <w:t>46</w:t>
            </w:r>
            <w:r w:rsidRPr="000C30B4">
              <w:t xml:space="preserve"> </w:t>
            </w:r>
          </w:p>
        </w:tc>
        <w:tc>
          <w:tcPr>
            <w:tcW w:w="587" w:type="pct"/>
            <w:vAlign w:val="center"/>
            <w:hideMark/>
          </w:tcPr>
          <w:p w14:paraId="49AD1899" w14:textId="77777777" w:rsidR="00810C9B" w:rsidRPr="000C30B4" w:rsidRDefault="00810C9B" w:rsidP="00810C9B">
            <w:pPr>
              <w:pStyle w:val="TableParagraph"/>
            </w:pPr>
            <w:r w:rsidRPr="000C30B4">
              <w:t xml:space="preserve">10,813 </w:t>
            </w:r>
          </w:p>
        </w:tc>
        <w:tc>
          <w:tcPr>
            <w:tcW w:w="613" w:type="pct"/>
            <w:vAlign w:val="center"/>
            <w:hideMark/>
          </w:tcPr>
          <w:p w14:paraId="10958C50" w14:textId="77777777" w:rsidR="00810C9B" w:rsidRPr="000C30B4" w:rsidRDefault="00810C9B" w:rsidP="00810C9B">
            <w:pPr>
              <w:pStyle w:val="TableParagraph"/>
            </w:pPr>
            <w:r w:rsidRPr="000C30B4">
              <w:t xml:space="preserve">69 </w:t>
            </w:r>
          </w:p>
        </w:tc>
        <w:tc>
          <w:tcPr>
            <w:tcW w:w="1350" w:type="pct"/>
            <w:vAlign w:val="center"/>
            <w:hideMark/>
          </w:tcPr>
          <w:p w14:paraId="54348DA9" w14:textId="77777777" w:rsidR="00810C9B" w:rsidRPr="000C30B4" w:rsidRDefault="00810C9B" w:rsidP="00810C9B">
            <w:pPr>
              <w:pStyle w:val="TableParagraph"/>
            </w:pPr>
            <w:r w:rsidRPr="000C30B4">
              <w:t> </w:t>
            </w:r>
          </w:p>
        </w:tc>
      </w:tr>
    </w:tbl>
    <w:p w14:paraId="08367D57" w14:textId="69AE5ADE" w:rsidR="00893351" w:rsidRDefault="00C02D8D" w:rsidP="00832B9F">
      <w:pPr>
        <w:pStyle w:val="Paragraph"/>
      </w:pPr>
      <w:r>
        <w:t>Ecology reviewed t</w:t>
      </w:r>
      <w:r w:rsidR="00893351">
        <w:t>he following equipment</w:t>
      </w:r>
      <w:r w:rsidR="00E02730">
        <w:t xml:space="preserve"> </w:t>
      </w:r>
      <w:r w:rsidR="00893351">
        <w:t xml:space="preserve">using the EPA Cost </w:t>
      </w:r>
      <w:r w:rsidR="002633A1">
        <w:t xml:space="preserve">Control </w:t>
      </w:r>
      <w:r w:rsidR="00893351">
        <w:t>M</w:t>
      </w:r>
      <w:r w:rsidR="002633A1">
        <w:t>anual</w:t>
      </w:r>
      <w:r w:rsidR="00893351">
        <w:t xml:space="preserve">: </w:t>
      </w:r>
    </w:p>
    <w:p w14:paraId="2D732FE6" w14:textId="77777777" w:rsidR="00893351" w:rsidRDefault="00893351" w:rsidP="00B3608A">
      <w:pPr>
        <w:pStyle w:val="Heading7"/>
      </w:pPr>
      <w:bookmarkStart w:id="211" w:name="_Toc49863887"/>
      <w:bookmarkStart w:id="212" w:name="_Toc51673418"/>
      <w:r w:rsidRPr="009620B7">
        <w:t>BOILER #1 ERIE CITY--31G-F1</w:t>
      </w:r>
      <w:bookmarkEnd w:id="211"/>
      <w:bookmarkEnd w:id="212"/>
    </w:p>
    <w:p w14:paraId="490E240A" w14:textId="171851A7" w:rsidR="00893351" w:rsidRDefault="00893351" w:rsidP="00832B9F">
      <w:pPr>
        <w:pStyle w:val="Paragraph"/>
        <w:rPr>
          <w:rFonts w:ascii="Arial" w:hAnsi="Arial" w:cs="Arial"/>
          <w:b/>
          <w:sz w:val="20"/>
        </w:rPr>
      </w:pPr>
      <w:r>
        <w:t>Trinity Consultants supplied a table with the limited backup information.</w:t>
      </w:r>
      <w:r w:rsidR="0067717B">
        <w:t xml:space="preserve"> </w:t>
      </w:r>
      <w:r>
        <w:t>Ecology found the following discrepancies that inflated the cost for the retrofit.</w:t>
      </w:r>
    </w:p>
    <w:p w14:paraId="1EDA1750" w14:textId="72A1AF27" w:rsidR="00B3608A" w:rsidRDefault="00B3608A" w:rsidP="00B3608A">
      <w:pPr>
        <w:pStyle w:val="Caption"/>
        <w:keepNext/>
        <w:spacing w:after="0"/>
      </w:pPr>
      <w:bookmarkStart w:id="213" w:name="_Toc51675387"/>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16</w:t>
      </w:r>
      <w:r w:rsidR="00F45623">
        <w:rPr>
          <w:noProof/>
        </w:rPr>
        <w:fldChar w:fldCharType="end"/>
      </w:r>
      <w:r>
        <w:t xml:space="preserve">: </w:t>
      </w:r>
      <w:r w:rsidRPr="000A77BC">
        <w:t xml:space="preserve">Boiler #1 </w:t>
      </w:r>
      <w:r w:rsidR="0000664C">
        <w:t>Erie City--31G-F1 cost c</w:t>
      </w:r>
      <w:r w:rsidRPr="000A77BC">
        <w:t>omparison</w:t>
      </w:r>
      <w:bookmarkEnd w:id="213"/>
    </w:p>
    <w:tbl>
      <w:tblPr>
        <w:tblStyle w:val="TableGrid"/>
        <w:tblW w:w="5000" w:type="pct"/>
        <w:tblLook w:val="04A0" w:firstRow="1" w:lastRow="0" w:firstColumn="1" w:lastColumn="0" w:noHBand="0" w:noVBand="1"/>
      </w:tblPr>
      <w:tblGrid>
        <w:gridCol w:w="3793"/>
        <w:gridCol w:w="2378"/>
        <w:gridCol w:w="3179"/>
      </w:tblGrid>
      <w:tr w:rsidR="00893351" w:rsidRPr="007C419D" w14:paraId="6DA8450D" w14:textId="77777777" w:rsidTr="00B3608A">
        <w:trPr>
          <w:cantSplit/>
          <w:trHeight w:val="432"/>
          <w:tblHeader/>
        </w:trPr>
        <w:tc>
          <w:tcPr>
            <w:tcW w:w="2028" w:type="pct"/>
            <w:vAlign w:val="center"/>
          </w:tcPr>
          <w:p w14:paraId="39170E2E" w14:textId="77777777" w:rsidR="00893351" w:rsidRPr="00B3608A" w:rsidRDefault="00893351" w:rsidP="00B3608A">
            <w:pPr>
              <w:pStyle w:val="TableParagraph"/>
              <w:rPr>
                <w:b/>
              </w:rPr>
            </w:pPr>
          </w:p>
        </w:tc>
        <w:tc>
          <w:tcPr>
            <w:tcW w:w="1271" w:type="pct"/>
            <w:vAlign w:val="center"/>
          </w:tcPr>
          <w:p w14:paraId="4487DF31" w14:textId="77777777" w:rsidR="00893351" w:rsidRPr="00B3608A" w:rsidRDefault="00893351" w:rsidP="00B3608A">
            <w:pPr>
              <w:pStyle w:val="TableParagraph"/>
              <w:rPr>
                <w:b/>
              </w:rPr>
            </w:pPr>
            <w:r w:rsidRPr="00B3608A">
              <w:rPr>
                <w:b/>
              </w:rPr>
              <w:t>Trinity</w:t>
            </w:r>
            <w:r w:rsidRPr="00B3608A">
              <w:rPr>
                <w:b/>
              </w:rPr>
              <w:br/>
              <w:t>Consultants</w:t>
            </w:r>
          </w:p>
        </w:tc>
        <w:tc>
          <w:tcPr>
            <w:tcW w:w="1700" w:type="pct"/>
            <w:vAlign w:val="center"/>
          </w:tcPr>
          <w:p w14:paraId="2B8A2488" w14:textId="0DB48A63" w:rsidR="00893351" w:rsidRPr="00B3608A" w:rsidRDefault="00893351" w:rsidP="00B3608A">
            <w:pPr>
              <w:pStyle w:val="TableParagraph"/>
              <w:rPr>
                <w:b/>
              </w:rPr>
            </w:pPr>
            <w:r w:rsidRPr="00B3608A">
              <w:rPr>
                <w:b/>
              </w:rPr>
              <w:t xml:space="preserve">Ecology – </w:t>
            </w:r>
            <w:r w:rsidRPr="00B3608A">
              <w:rPr>
                <w:b/>
              </w:rPr>
              <w:br/>
              <w:t xml:space="preserve">EPA </w:t>
            </w:r>
            <w:r w:rsidR="00E35B04">
              <w:rPr>
                <w:b/>
              </w:rPr>
              <w:t>Control Cost Manual</w:t>
            </w:r>
          </w:p>
        </w:tc>
      </w:tr>
      <w:tr w:rsidR="00893351" w:rsidRPr="007C419D" w14:paraId="251CA3AD" w14:textId="77777777" w:rsidTr="00B3608A">
        <w:trPr>
          <w:trHeight w:val="432"/>
        </w:trPr>
        <w:tc>
          <w:tcPr>
            <w:tcW w:w="2028" w:type="pct"/>
            <w:vAlign w:val="center"/>
          </w:tcPr>
          <w:p w14:paraId="6B6E0725" w14:textId="77777777" w:rsidR="00893351" w:rsidRPr="007C419D" w:rsidRDefault="00893351" w:rsidP="00B3608A">
            <w:pPr>
              <w:pStyle w:val="TableParagraph"/>
            </w:pPr>
            <w:r w:rsidRPr="007C419D">
              <w:t>Capital cost $</w:t>
            </w:r>
          </w:p>
        </w:tc>
        <w:tc>
          <w:tcPr>
            <w:tcW w:w="1271" w:type="pct"/>
            <w:vAlign w:val="center"/>
          </w:tcPr>
          <w:p w14:paraId="7715075B" w14:textId="77777777" w:rsidR="00893351" w:rsidRPr="00654CDD" w:rsidRDefault="00893351" w:rsidP="00B3608A">
            <w:pPr>
              <w:pStyle w:val="TableParagraph"/>
            </w:pPr>
            <w:r w:rsidRPr="00654CDD">
              <w:t>11,420,745</w:t>
            </w:r>
          </w:p>
        </w:tc>
        <w:tc>
          <w:tcPr>
            <w:tcW w:w="1700" w:type="pct"/>
            <w:vAlign w:val="center"/>
          </w:tcPr>
          <w:p w14:paraId="7CC82411" w14:textId="77777777" w:rsidR="00893351" w:rsidRPr="00810C9B" w:rsidRDefault="00893351" w:rsidP="00B3608A">
            <w:pPr>
              <w:pStyle w:val="TableParagraph"/>
            </w:pPr>
            <w:r w:rsidRPr="00810C9B">
              <w:rPr>
                <w:color w:val="000000"/>
              </w:rPr>
              <w:t>5,084,927</w:t>
            </w:r>
          </w:p>
        </w:tc>
      </w:tr>
      <w:tr w:rsidR="00893351" w:rsidRPr="007C419D" w14:paraId="6CCB9953" w14:textId="77777777" w:rsidTr="00B3608A">
        <w:trPr>
          <w:trHeight w:val="432"/>
        </w:trPr>
        <w:tc>
          <w:tcPr>
            <w:tcW w:w="2028" w:type="pct"/>
            <w:vAlign w:val="center"/>
          </w:tcPr>
          <w:p w14:paraId="56BFF54B" w14:textId="77777777" w:rsidR="00893351" w:rsidRPr="007C419D" w:rsidRDefault="00893351" w:rsidP="00B3608A">
            <w:pPr>
              <w:pStyle w:val="TableParagraph"/>
            </w:pPr>
            <w:r w:rsidRPr="007C419D">
              <w:t>Maintenance $/yr</w:t>
            </w:r>
          </w:p>
        </w:tc>
        <w:tc>
          <w:tcPr>
            <w:tcW w:w="1271" w:type="pct"/>
            <w:vAlign w:val="center"/>
          </w:tcPr>
          <w:p w14:paraId="1D322919" w14:textId="77777777" w:rsidR="00893351" w:rsidRPr="00654CDD" w:rsidRDefault="00893351" w:rsidP="00B3608A">
            <w:pPr>
              <w:pStyle w:val="TableParagraph"/>
            </w:pPr>
            <w:r w:rsidRPr="00654CDD">
              <w:t>57,104</w:t>
            </w:r>
          </w:p>
        </w:tc>
        <w:tc>
          <w:tcPr>
            <w:tcW w:w="1700" w:type="pct"/>
            <w:vAlign w:val="center"/>
          </w:tcPr>
          <w:p w14:paraId="285F584F" w14:textId="77777777" w:rsidR="00893351" w:rsidRPr="00810C9B" w:rsidRDefault="00893351" w:rsidP="00B3608A">
            <w:pPr>
              <w:pStyle w:val="TableParagraph"/>
            </w:pPr>
            <w:r w:rsidRPr="00810C9B">
              <w:rPr>
                <w:color w:val="000000"/>
              </w:rPr>
              <w:t>25,425</w:t>
            </w:r>
          </w:p>
        </w:tc>
      </w:tr>
      <w:tr w:rsidR="00893351" w:rsidRPr="007C419D" w14:paraId="56640F58" w14:textId="77777777" w:rsidTr="00B3608A">
        <w:trPr>
          <w:trHeight w:val="432"/>
        </w:trPr>
        <w:tc>
          <w:tcPr>
            <w:tcW w:w="2028" w:type="pct"/>
            <w:vAlign w:val="center"/>
          </w:tcPr>
          <w:p w14:paraId="59C6020E" w14:textId="77777777" w:rsidR="00893351" w:rsidRPr="007C419D" w:rsidRDefault="00893351" w:rsidP="00B3608A">
            <w:pPr>
              <w:pStyle w:val="TableParagraph"/>
            </w:pPr>
            <w:r w:rsidRPr="007C419D">
              <w:t>Reagent $/yr</w:t>
            </w:r>
          </w:p>
        </w:tc>
        <w:tc>
          <w:tcPr>
            <w:tcW w:w="1271" w:type="pct"/>
            <w:vAlign w:val="center"/>
          </w:tcPr>
          <w:p w14:paraId="1C49CB80" w14:textId="77777777" w:rsidR="00893351" w:rsidRPr="00654CDD" w:rsidRDefault="00893351" w:rsidP="00B3608A">
            <w:pPr>
              <w:pStyle w:val="TableParagraph"/>
            </w:pPr>
            <w:r w:rsidRPr="00654CDD">
              <w:t>17,221</w:t>
            </w:r>
          </w:p>
        </w:tc>
        <w:tc>
          <w:tcPr>
            <w:tcW w:w="1700" w:type="pct"/>
            <w:vAlign w:val="center"/>
          </w:tcPr>
          <w:p w14:paraId="56109D01" w14:textId="77777777" w:rsidR="00893351" w:rsidRPr="00810C9B" w:rsidRDefault="00893351" w:rsidP="00B3608A">
            <w:pPr>
              <w:pStyle w:val="TableParagraph"/>
            </w:pPr>
            <w:r w:rsidRPr="00810C9B">
              <w:rPr>
                <w:color w:val="000000"/>
              </w:rPr>
              <w:t>20,677</w:t>
            </w:r>
          </w:p>
        </w:tc>
      </w:tr>
      <w:tr w:rsidR="00893351" w:rsidRPr="007C419D" w14:paraId="27B8BA69" w14:textId="77777777" w:rsidTr="00B3608A">
        <w:trPr>
          <w:trHeight w:val="432"/>
        </w:trPr>
        <w:tc>
          <w:tcPr>
            <w:tcW w:w="2028" w:type="pct"/>
            <w:vAlign w:val="center"/>
          </w:tcPr>
          <w:p w14:paraId="57AD96F5" w14:textId="77777777" w:rsidR="00893351" w:rsidRPr="007C419D" w:rsidRDefault="00893351" w:rsidP="00B3608A">
            <w:pPr>
              <w:pStyle w:val="TableParagraph"/>
            </w:pPr>
            <w:r w:rsidRPr="007C419D">
              <w:t>Catalyst $/yr</w:t>
            </w:r>
          </w:p>
        </w:tc>
        <w:tc>
          <w:tcPr>
            <w:tcW w:w="1271" w:type="pct"/>
            <w:vAlign w:val="center"/>
          </w:tcPr>
          <w:p w14:paraId="398515BD" w14:textId="77777777" w:rsidR="00893351" w:rsidRPr="00654CDD" w:rsidRDefault="00893351" w:rsidP="00B3608A">
            <w:pPr>
              <w:pStyle w:val="TableParagraph"/>
            </w:pPr>
            <w:r w:rsidRPr="00654CDD">
              <w:t>39,340</w:t>
            </w:r>
          </w:p>
        </w:tc>
        <w:tc>
          <w:tcPr>
            <w:tcW w:w="1700" w:type="pct"/>
            <w:vAlign w:val="center"/>
          </w:tcPr>
          <w:p w14:paraId="419FBA3E" w14:textId="77777777" w:rsidR="00893351" w:rsidRPr="00810C9B" w:rsidRDefault="00893351" w:rsidP="00B3608A">
            <w:pPr>
              <w:pStyle w:val="TableParagraph"/>
            </w:pPr>
            <w:r w:rsidRPr="00810C9B">
              <w:rPr>
                <w:color w:val="000000"/>
              </w:rPr>
              <w:t>11,982</w:t>
            </w:r>
          </w:p>
        </w:tc>
      </w:tr>
      <w:tr w:rsidR="00893351" w:rsidRPr="007C419D" w14:paraId="7790E96B" w14:textId="77777777" w:rsidTr="00B3608A">
        <w:trPr>
          <w:trHeight w:val="432"/>
        </w:trPr>
        <w:tc>
          <w:tcPr>
            <w:tcW w:w="2028" w:type="pct"/>
            <w:vAlign w:val="center"/>
          </w:tcPr>
          <w:p w14:paraId="74D41878" w14:textId="77777777" w:rsidR="00893351" w:rsidRPr="007C419D" w:rsidRDefault="00893351" w:rsidP="00B3608A">
            <w:pPr>
              <w:pStyle w:val="TableParagraph"/>
            </w:pPr>
            <w:r w:rsidRPr="007C419D">
              <w:t>Annualized cost $/yr</w:t>
            </w:r>
          </w:p>
        </w:tc>
        <w:tc>
          <w:tcPr>
            <w:tcW w:w="1271" w:type="pct"/>
            <w:vAlign w:val="center"/>
          </w:tcPr>
          <w:p w14:paraId="07BBBAFE" w14:textId="77777777" w:rsidR="00893351" w:rsidRPr="00654CDD" w:rsidRDefault="00893351" w:rsidP="00B3608A">
            <w:pPr>
              <w:pStyle w:val="TableParagraph"/>
            </w:pPr>
            <w:r w:rsidRPr="00654CDD">
              <w:t>2,053,888</w:t>
            </w:r>
          </w:p>
        </w:tc>
        <w:tc>
          <w:tcPr>
            <w:tcW w:w="1700" w:type="pct"/>
            <w:vAlign w:val="center"/>
          </w:tcPr>
          <w:p w14:paraId="48015E71" w14:textId="77777777" w:rsidR="00893351" w:rsidRPr="00810C9B" w:rsidRDefault="00893351" w:rsidP="00B3608A">
            <w:pPr>
              <w:pStyle w:val="TableParagraph"/>
            </w:pPr>
            <w:r w:rsidRPr="00810C9B">
              <w:rPr>
                <w:color w:val="000000"/>
              </w:rPr>
              <w:t>437,150</w:t>
            </w:r>
          </w:p>
        </w:tc>
      </w:tr>
      <w:tr w:rsidR="00893351" w:rsidRPr="007C419D" w14:paraId="46AE12CB" w14:textId="77777777" w:rsidTr="00B3608A">
        <w:trPr>
          <w:trHeight w:val="432"/>
        </w:trPr>
        <w:tc>
          <w:tcPr>
            <w:tcW w:w="2028" w:type="pct"/>
            <w:vAlign w:val="center"/>
          </w:tcPr>
          <w:p w14:paraId="0D579BF2" w14:textId="04A8A899" w:rsidR="00893351" w:rsidRPr="007C419D" w:rsidRDefault="000C2EB3" w:rsidP="00B3608A">
            <w:pPr>
              <w:pStyle w:val="TableParagraph"/>
            </w:pPr>
            <w:r w:rsidRPr="000C2EB3">
              <w:t>NO</w:t>
            </w:r>
            <w:r w:rsidRPr="000C2EB3">
              <w:rPr>
                <w:vertAlign w:val="subscript"/>
              </w:rPr>
              <w:t>X</w:t>
            </w:r>
            <w:r w:rsidR="00893351" w:rsidRPr="007C419D">
              <w:t xml:space="preserve"> tpy reduced</w:t>
            </w:r>
          </w:p>
        </w:tc>
        <w:tc>
          <w:tcPr>
            <w:tcW w:w="1271" w:type="pct"/>
            <w:vAlign w:val="center"/>
          </w:tcPr>
          <w:p w14:paraId="75063FF1" w14:textId="77777777" w:rsidR="00893351" w:rsidRPr="00654CDD" w:rsidRDefault="00893351" w:rsidP="00B3608A">
            <w:pPr>
              <w:pStyle w:val="TableParagraph"/>
            </w:pPr>
            <w:r w:rsidRPr="00654CDD">
              <w:t>164</w:t>
            </w:r>
          </w:p>
        </w:tc>
        <w:tc>
          <w:tcPr>
            <w:tcW w:w="1700" w:type="pct"/>
            <w:vAlign w:val="center"/>
          </w:tcPr>
          <w:p w14:paraId="0BD00720" w14:textId="77777777" w:rsidR="00893351" w:rsidRPr="00810C9B" w:rsidRDefault="00893351" w:rsidP="00B3608A">
            <w:pPr>
              <w:pStyle w:val="TableParagraph"/>
            </w:pPr>
            <w:r w:rsidRPr="00810C9B">
              <w:t>179</w:t>
            </w:r>
          </w:p>
        </w:tc>
      </w:tr>
      <w:tr w:rsidR="00893351" w:rsidRPr="007C419D" w14:paraId="1B9C9ABB" w14:textId="77777777" w:rsidTr="00B3608A">
        <w:trPr>
          <w:trHeight w:val="432"/>
        </w:trPr>
        <w:tc>
          <w:tcPr>
            <w:tcW w:w="2028" w:type="pct"/>
            <w:vAlign w:val="center"/>
          </w:tcPr>
          <w:p w14:paraId="1F13CA1E" w14:textId="6D3CA225" w:rsidR="00893351" w:rsidRPr="007C419D" w:rsidRDefault="00893351" w:rsidP="00B3608A">
            <w:pPr>
              <w:pStyle w:val="TableParagraph"/>
            </w:pPr>
            <w:r w:rsidRPr="007C419D">
              <w:t xml:space="preserve">$/ton </w:t>
            </w:r>
            <w:r w:rsidR="000C2EB3" w:rsidRPr="000C2EB3">
              <w:t>NO</w:t>
            </w:r>
            <w:r w:rsidR="000C2EB3" w:rsidRPr="000C2EB3">
              <w:rPr>
                <w:vertAlign w:val="subscript"/>
              </w:rPr>
              <w:t>X</w:t>
            </w:r>
            <w:r w:rsidR="000C2EB3" w:rsidRPr="000C2EB3">
              <w:t xml:space="preserve"> </w:t>
            </w:r>
            <w:r w:rsidRPr="007C419D">
              <w:t>reduced</w:t>
            </w:r>
          </w:p>
        </w:tc>
        <w:tc>
          <w:tcPr>
            <w:tcW w:w="1271" w:type="pct"/>
            <w:vAlign w:val="center"/>
          </w:tcPr>
          <w:p w14:paraId="553DA89B" w14:textId="77777777" w:rsidR="00893351" w:rsidRPr="00654CDD" w:rsidRDefault="00893351" w:rsidP="00B3608A">
            <w:pPr>
              <w:pStyle w:val="TableParagraph"/>
            </w:pPr>
            <w:r w:rsidRPr="00654CDD">
              <w:t>12,511.00</w:t>
            </w:r>
          </w:p>
        </w:tc>
        <w:tc>
          <w:tcPr>
            <w:tcW w:w="1700" w:type="pct"/>
            <w:vAlign w:val="center"/>
          </w:tcPr>
          <w:p w14:paraId="397A15A1" w14:textId="77777777" w:rsidR="00893351" w:rsidRPr="00810C9B" w:rsidRDefault="00893351" w:rsidP="00B3608A">
            <w:pPr>
              <w:pStyle w:val="TableParagraph"/>
            </w:pPr>
            <w:r w:rsidRPr="00810C9B">
              <w:rPr>
                <w:color w:val="000000"/>
              </w:rPr>
              <w:t>2,441</w:t>
            </w:r>
          </w:p>
        </w:tc>
      </w:tr>
    </w:tbl>
    <w:p w14:paraId="37F036B4" w14:textId="0E0B34BC" w:rsidR="00893351" w:rsidRPr="00654CDD" w:rsidRDefault="00893351" w:rsidP="00832B9F">
      <w:pPr>
        <w:pStyle w:val="Paragraph"/>
      </w:pPr>
      <w:r w:rsidRPr="00654CDD">
        <w:lastRenderedPageBreak/>
        <w:t xml:space="preserve">Ecology used the EPA </w:t>
      </w:r>
      <w:r w:rsidR="00E35B04">
        <w:t>Control Cost Manual</w:t>
      </w:r>
      <w:r w:rsidRPr="00654CDD">
        <w:t xml:space="preserve"> cost with 90</w:t>
      </w:r>
      <w:r w:rsidR="00B07D39">
        <w:t xml:space="preserve">% </w:t>
      </w:r>
      <w:r w:rsidRPr="00654CDD">
        <w:t>controls.</w:t>
      </w:r>
      <w:r w:rsidR="0067717B">
        <w:t xml:space="preserve"> </w:t>
      </w:r>
      <w:r>
        <w:t>Trinity Consultants</w:t>
      </w:r>
      <w:r w:rsidRPr="00654CDD">
        <w:t xml:space="preserve"> did not supply the cost data they used to scale their cost data and had only an 8</w:t>
      </w:r>
      <w:r>
        <w:t>-</w:t>
      </w:r>
      <w:r w:rsidRPr="00654CDD">
        <w:t>yr life of the boiler.</w:t>
      </w:r>
    </w:p>
    <w:p w14:paraId="6D272F52" w14:textId="77777777" w:rsidR="00893351" w:rsidRPr="00C5621E" w:rsidRDefault="00893351" w:rsidP="00BF5FE8">
      <w:pPr>
        <w:pStyle w:val="Heading7"/>
      </w:pPr>
      <w:bookmarkStart w:id="214" w:name="_Toc51673419"/>
      <w:r w:rsidRPr="009620B7">
        <w:t>FCCU/CO Boiler</w:t>
      </w:r>
      <w:bookmarkEnd w:id="214"/>
    </w:p>
    <w:p w14:paraId="134F5A86" w14:textId="77777777" w:rsidR="00893351" w:rsidRDefault="00893351" w:rsidP="00832B9F">
      <w:pPr>
        <w:pStyle w:val="Paragraph"/>
      </w:pPr>
      <w:r>
        <w:t>Trinity Consultants did not supply cost data for this equipment</w:t>
      </w:r>
      <w:r w:rsidRPr="009620B7">
        <w:t>.</w:t>
      </w:r>
    </w:p>
    <w:p w14:paraId="39790DC5" w14:textId="76B06C46" w:rsidR="00C030B9" w:rsidRDefault="00C030B9" w:rsidP="00C030B9">
      <w:pPr>
        <w:pStyle w:val="Caption"/>
        <w:keepNext/>
        <w:spacing w:after="0"/>
      </w:pPr>
      <w:bookmarkStart w:id="215" w:name="_Toc51675388"/>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17</w:t>
      </w:r>
      <w:r w:rsidR="00F45623">
        <w:rPr>
          <w:noProof/>
        </w:rPr>
        <w:fldChar w:fldCharType="end"/>
      </w:r>
      <w:r>
        <w:t xml:space="preserve">: </w:t>
      </w:r>
      <w:r w:rsidRPr="006403BC">
        <w:t>FC</w:t>
      </w:r>
      <w:r w:rsidR="0000664C">
        <w:t>CU/CO b</w:t>
      </w:r>
      <w:r w:rsidRPr="006403BC">
        <w:t xml:space="preserve">oiler </w:t>
      </w:r>
      <w:r w:rsidR="0000664C">
        <w:t>cost c</w:t>
      </w:r>
      <w:r w:rsidRPr="006403BC">
        <w:t>omparison</w:t>
      </w:r>
      <w:bookmarkEnd w:id="215"/>
    </w:p>
    <w:tbl>
      <w:tblPr>
        <w:tblStyle w:val="TableGrid"/>
        <w:tblW w:w="5000" w:type="pct"/>
        <w:tblLook w:val="04A0" w:firstRow="1" w:lastRow="0" w:firstColumn="1" w:lastColumn="0" w:noHBand="0" w:noVBand="1"/>
      </w:tblPr>
      <w:tblGrid>
        <w:gridCol w:w="3793"/>
        <w:gridCol w:w="2378"/>
        <w:gridCol w:w="3179"/>
      </w:tblGrid>
      <w:tr w:rsidR="00893351" w:rsidRPr="007C419D" w14:paraId="70D6A2FA" w14:textId="77777777" w:rsidTr="00C030B9">
        <w:trPr>
          <w:cantSplit/>
          <w:trHeight w:val="432"/>
          <w:tblHeader/>
        </w:trPr>
        <w:tc>
          <w:tcPr>
            <w:tcW w:w="2028" w:type="pct"/>
            <w:vAlign w:val="center"/>
          </w:tcPr>
          <w:p w14:paraId="37402FA7" w14:textId="77777777" w:rsidR="00893351" w:rsidRPr="00C030B9" w:rsidRDefault="00893351" w:rsidP="00C030B9">
            <w:pPr>
              <w:pStyle w:val="TableParagraph"/>
              <w:rPr>
                <w:b/>
              </w:rPr>
            </w:pPr>
          </w:p>
        </w:tc>
        <w:tc>
          <w:tcPr>
            <w:tcW w:w="1271" w:type="pct"/>
            <w:vAlign w:val="center"/>
          </w:tcPr>
          <w:p w14:paraId="3470F9A7" w14:textId="77777777" w:rsidR="00893351" w:rsidRPr="00C030B9" w:rsidRDefault="00893351" w:rsidP="00C030B9">
            <w:pPr>
              <w:pStyle w:val="TableParagraph"/>
              <w:rPr>
                <w:b/>
              </w:rPr>
            </w:pPr>
            <w:r w:rsidRPr="00C030B9">
              <w:rPr>
                <w:b/>
              </w:rPr>
              <w:t>Trinity</w:t>
            </w:r>
            <w:r w:rsidRPr="00C030B9">
              <w:rPr>
                <w:b/>
              </w:rPr>
              <w:br/>
              <w:t>Consultants</w:t>
            </w:r>
          </w:p>
        </w:tc>
        <w:tc>
          <w:tcPr>
            <w:tcW w:w="1700" w:type="pct"/>
            <w:vAlign w:val="center"/>
          </w:tcPr>
          <w:p w14:paraId="6D26494B" w14:textId="217B7E0B" w:rsidR="00893351" w:rsidRPr="00C030B9" w:rsidRDefault="00893351" w:rsidP="00C030B9">
            <w:pPr>
              <w:pStyle w:val="TableParagraph"/>
              <w:rPr>
                <w:b/>
              </w:rPr>
            </w:pPr>
            <w:r w:rsidRPr="00C030B9">
              <w:rPr>
                <w:b/>
              </w:rPr>
              <w:t xml:space="preserve">Ecology – </w:t>
            </w:r>
            <w:r w:rsidRPr="00C030B9">
              <w:rPr>
                <w:b/>
              </w:rPr>
              <w:br/>
              <w:t xml:space="preserve">EPA </w:t>
            </w:r>
            <w:r w:rsidR="00E35B04">
              <w:rPr>
                <w:b/>
              </w:rPr>
              <w:t>Control Cost Manual</w:t>
            </w:r>
          </w:p>
        </w:tc>
      </w:tr>
      <w:tr w:rsidR="00893351" w:rsidRPr="007C419D" w14:paraId="09799693" w14:textId="77777777" w:rsidTr="00C030B9">
        <w:trPr>
          <w:trHeight w:val="432"/>
        </w:trPr>
        <w:tc>
          <w:tcPr>
            <w:tcW w:w="2028" w:type="pct"/>
            <w:vAlign w:val="center"/>
          </w:tcPr>
          <w:p w14:paraId="75373DD7" w14:textId="77777777" w:rsidR="00893351" w:rsidRPr="007C419D" w:rsidRDefault="00893351" w:rsidP="00C030B9">
            <w:pPr>
              <w:pStyle w:val="TableParagraph"/>
            </w:pPr>
            <w:r w:rsidRPr="007C419D">
              <w:t>Capital cost $</w:t>
            </w:r>
          </w:p>
        </w:tc>
        <w:tc>
          <w:tcPr>
            <w:tcW w:w="1271" w:type="pct"/>
            <w:vAlign w:val="center"/>
          </w:tcPr>
          <w:p w14:paraId="634C4608" w14:textId="77777777" w:rsidR="00893351" w:rsidRPr="00654CDD" w:rsidRDefault="00893351" w:rsidP="00C030B9">
            <w:pPr>
              <w:pStyle w:val="TableParagraph"/>
            </w:pPr>
            <w:r w:rsidRPr="00654CDD">
              <w:t>NA</w:t>
            </w:r>
          </w:p>
        </w:tc>
        <w:tc>
          <w:tcPr>
            <w:tcW w:w="1700" w:type="pct"/>
            <w:vAlign w:val="center"/>
          </w:tcPr>
          <w:p w14:paraId="00279486" w14:textId="77777777" w:rsidR="00893351" w:rsidRPr="004B66C9" w:rsidRDefault="00893351" w:rsidP="00C030B9">
            <w:pPr>
              <w:pStyle w:val="TableParagraph"/>
            </w:pPr>
            <w:r w:rsidRPr="004B66C9">
              <w:rPr>
                <w:color w:val="000000"/>
              </w:rPr>
              <w:t>10,680,913</w:t>
            </w:r>
          </w:p>
        </w:tc>
      </w:tr>
      <w:tr w:rsidR="00893351" w:rsidRPr="007C419D" w14:paraId="5D4FBD5C" w14:textId="77777777" w:rsidTr="00C030B9">
        <w:trPr>
          <w:trHeight w:val="432"/>
        </w:trPr>
        <w:tc>
          <w:tcPr>
            <w:tcW w:w="2028" w:type="pct"/>
            <w:vAlign w:val="center"/>
          </w:tcPr>
          <w:p w14:paraId="18923A3B" w14:textId="77777777" w:rsidR="00893351" w:rsidRPr="007C419D" w:rsidRDefault="00893351" w:rsidP="00C030B9">
            <w:pPr>
              <w:pStyle w:val="TableParagraph"/>
            </w:pPr>
            <w:r w:rsidRPr="007C419D">
              <w:t>Maintenance $/yr</w:t>
            </w:r>
          </w:p>
        </w:tc>
        <w:tc>
          <w:tcPr>
            <w:tcW w:w="1271" w:type="pct"/>
            <w:vAlign w:val="center"/>
          </w:tcPr>
          <w:p w14:paraId="3CD0AD76" w14:textId="77777777" w:rsidR="00893351" w:rsidRPr="00654CDD" w:rsidRDefault="00893351" w:rsidP="00C030B9">
            <w:pPr>
              <w:pStyle w:val="TableParagraph"/>
            </w:pPr>
            <w:r w:rsidRPr="00654CDD">
              <w:t>NA</w:t>
            </w:r>
          </w:p>
        </w:tc>
        <w:tc>
          <w:tcPr>
            <w:tcW w:w="1700" w:type="pct"/>
            <w:vAlign w:val="center"/>
          </w:tcPr>
          <w:p w14:paraId="2C9B4FC3" w14:textId="77777777" w:rsidR="00893351" w:rsidRPr="004B66C9" w:rsidRDefault="00893351" w:rsidP="00C030B9">
            <w:pPr>
              <w:pStyle w:val="TableParagraph"/>
            </w:pPr>
            <w:r w:rsidRPr="004B66C9">
              <w:rPr>
                <w:color w:val="000000"/>
              </w:rPr>
              <w:t>53,405</w:t>
            </w:r>
          </w:p>
        </w:tc>
      </w:tr>
      <w:tr w:rsidR="00893351" w:rsidRPr="007C419D" w14:paraId="640051CB" w14:textId="77777777" w:rsidTr="00C030B9">
        <w:trPr>
          <w:trHeight w:val="432"/>
        </w:trPr>
        <w:tc>
          <w:tcPr>
            <w:tcW w:w="2028" w:type="pct"/>
            <w:vAlign w:val="center"/>
          </w:tcPr>
          <w:p w14:paraId="5720643D" w14:textId="77777777" w:rsidR="00893351" w:rsidRPr="007C419D" w:rsidRDefault="00893351" w:rsidP="00C030B9">
            <w:pPr>
              <w:pStyle w:val="TableParagraph"/>
            </w:pPr>
            <w:r w:rsidRPr="007C419D">
              <w:t>Reagent $/yr</w:t>
            </w:r>
          </w:p>
        </w:tc>
        <w:tc>
          <w:tcPr>
            <w:tcW w:w="1271" w:type="pct"/>
            <w:vAlign w:val="center"/>
          </w:tcPr>
          <w:p w14:paraId="10B24EA1" w14:textId="77777777" w:rsidR="00893351" w:rsidRPr="00654CDD" w:rsidRDefault="00893351" w:rsidP="00C030B9">
            <w:pPr>
              <w:pStyle w:val="TableParagraph"/>
            </w:pPr>
            <w:r w:rsidRPr="00654CDD">
              <w:t>NA</w:t>
            </w:r>
          </w:p>
        </w:tc>
        <w:tc>
          <w:tcPr>
            <w:tcW w:w="1700" w:type="pct"/>
            <w:vAlign w:val="center"/>
          </w:tcPr>
          <w:p w14:paraId="237F417E" w14:textId="77777777" w:rsidR="00893351" w:rsidRPr="004B66C9" w:rsidRDefault="00893351" w:rsidP="00C030B9">
            <w:pPr>
              <w:pStyle w:val="TableParagraph"/>
            </w:pPr>
            <w:r w:rsidRPr="004B66C9">
              <w:rPr>
                <w:color w:val="000000"/>
              </w:rPr>
              <w:t>62,274</w:t>
            </w:r>
          </w:p>
        </w:tc>
      </w:tr>
      <w:tr w:rsidR="00893351" w:rsidRPr="007C419D" w14:paraId="273D030A" w14:textId="77777777" w:rsidTr="00C030B9">
        <w:trPr>
          <w:trHeight w:val="432"/>
        </w:trPr>
        <w:tc>
          <w:tcPr>
            <w:tcW w:w="2028" w:type="pct"/>
            <w:vAlign w:val="center"/>
          </w:tcPr>
          <w:p w14:paraId="7B4EBC79" w14:textId="77777777" w:rsidR="00893351" w:rsidRPr="007C419D" w:rsidRDefault="00893351" w:rsidP="00C030B9">
            <w:pPr>
              <w:pStyle w:val="TableParagraph"/>
            </w:pPr>
            <w:r w:rsidRPr="007C419D">
              <w:t>Catalyst $/yr</w:t>
            </w:r>
          </w:p>
        </w:tc>
        <w:tc>
          <w:tcPr>
            <w:tcW w:w="1271" w:type="pct"/>
            <w:vAlign w:val="center"/>
          </w:tcPr>
          <w:p w14:paraId="16A16519" w14:textId="77777777" w:rsidR="00893351" w:rsidRPr="00654CDD" w:rsidRDefault="00893351" w:rsidP="00C030B9">
            <w:pPr>
              <w:pStyle w:val="TableParagraph"/>
            </w:pPr>
            <w:r w:rsidRPr="00654CDD">
              <w:t>NA</w:t>
            </w:r>
          </w:p>
        </w:tc>
        <w:tc>
          <w:tcPr>
            <w:tcW w:w="1700" w:type="pct"/>
            <w:vAlign w:val="center"/>
          </w:tcPr>
          <w:p w14:paraId="48B01C5D" w14:textId="77777777" w:rsidR="00893351" w:rsidRPr="004B66C9" w:rsidRDefault="00893351" w:rsidP="00C030B9">
            <w:pPr>
              <w:pStyle w:val="TableParagraph"/>
            </w:pPr>
            <w:r w:rsidRPr="004B66C9">
              <w:rPr>
                <w:color w:val="000000"/>
              </w:rPr>
              <w:t>36,086</w:t>
            </w:r>
          </w:p>
        </w:tc>
      </w:tr>
      <w:tr w:rsidR="00893351" w:rsidRPr="007C419D" w14:paraId="5662CD5F" w14:textId="77777777" w:rsidTr="00C030B9">
        <w:trPr>
          <w:trHeight w:val="432"/>
        </w:trPr>
        <w:tc>
          <w:tcPr>
            <w:tcW w:w="2028" w:type="pct"/>
            <w:vAlign w:val="center"/>
          </w:tcPr>
          <w:p w14:paraId="6AAA55A5" w14:textId="77777777" w:rsidR="00893351" w:rsidRPr="007C419D" w:rsidRDefault="00893351" w:rsidP="00C030B9">
            <w:pPr>
              <w:pStyle w:val="TableParagraph"/>
            </w:pPr>
            <w:r w:rsidRPr="007C419D">
              <w:t>Annualized cost $/yr</w:t>
            </w:r>
          </w:p>
        </w:tc>
        <w:tc>
          <w:tcPr>
            <w:tcW w:w="1271" w:type="pct"/>
            <w:vAlign w:val="center"/>
          </w:tcPr>
          <w:p w14:paraId="23A491EE" w14:textId="77777777" w:rsidR="00893351" w:rsidRPr="00654CDD" w:rsidRDefault="00893351" w:rsidP="00C030B9">
            <w:pPr>
              <w:pStyle w:val="TableParagraph"/>
            </w:pPr>
            <w:r w:rsidRPr="00654CDD">
              <w:t>NA</w:t>
            </w:r>
          </w:p>
        </w:tc>
        <w:tc>
          <w:tcPr>
            <w:tcW w:w="1700" w:type="pct"/>
            <w:vAlign w:val="center"/>
          </w:tcPr>
          <w:p w14:paraId="7B7F1C04" w14:textId="77777777" w:rsidR="00893351" w:rsidRPr="004B66C9" w:rsidRDefault="00893351" w:rsidP="00C030B9">
            <w:pPr>
              <w:pStyle w:val="TableParagraph"/>
            </w:pPr>
            <w:r w:rsidRPr="004B66C9">
              <w:rPr>
                <w:color w:val="000000"/>
              </w:rPr>
              <w:t>1,014,677</w:t>
            </w:r>
          </w:p>
        </w:tc>
      </w:tr>
      <w:tr w:rsidR="00893351" w:rsidRPr="007C419D" w14:paraId="5ECD8C44" w14:textId="77777777" w:rsidTr="00C030B9">
        <w:trPr>
          <w:trHeight w:val="432"/>
        </w:trPr>
        <w:tc>
          <w:tcPr>
            <w:tcW w:w="2028" w:type="pct"/>
            <w:vAlign w:val="center"/>
          </w:tcPr>
          <w:p w14:paraId="276DA289" w14:textId="2932DDEB" w:rsidR="00893351" w:rsidRPr="007C419D" w:rsidRDefault="000C2EB3" w:rsidP="00C030B9">
            <w:pPr>
              <w:pStyle w:val="TableParagraph"/>
            </w:pPr>
            <w:r w:rsidRPr="000C2EB3">
              <w:t>NO</w:t>
            </w:r>
            <w:r w:rsidRPr="000C2EB3">
              <w:rPr>
                <w:vertAlign w:val="subscript"/>
              </w:rPr>
              <w:t>X</w:t>
            </w:r>
            <w:r w:rsidR="00893351" w:rsidRPr="007C419D">
              <w:t xml:space="preserve"> tpy reduced</w:t>
            </w:r>
          </w:p>
        </w:tc>
        <w:tc>
          <w:tcPr>
            <w:tcW w:w="1271" w:type="pct"/>
            <w:vAlign w:val="center"/>
          </w:tcPr>
          <w:p w14:paraId="34012043" w14:textId="77777777" w:rsidR="00893351" w:rsidRPr="00654CDD" w:rsidRDefault="00893351" w:rsidP="00C030B9">
            <w:pPr>
              <w:pStyle w:val="TableParagraph"/>
            </w:pPr>
            <w:r w:rsidRPr="00654CDD">
              <w:t>NA</w:t>
            </w:r>
          </w:p>
        </w:tc>
        <w:tc>
          <w:tcPr>
            <w:tcW w:w="1700" w:type="pct"/>
            <w:vAlign w:val="center"/>
          </w:tcPr>
          <w:p w14:paraId="2A3F708D" w14:textId="77777777" w:rsidR="00893351" w:rsidRPr="004B66C9" w:rsidRDefault="00893351" w:rsidP="00C030B9">
            <w:pPr>
              <w:pStyle w:val="TableParagraph"/>
            </w:pPr>
            <w:r w:rsidRPr="004B66C9">
              <w:t>521</w:t>
            </w:r>
          </w:p>
        </w:tc>
      </w:tr>
      <w:tr w:rsidR="00893351" w:rsidRPr="007C419D" w14:paraId="0BD6A21C" w14:textId="77777777" w:rsidTr="00C030B9">
        <w:trPr>
          <w:trHeight w:val="432"/>
        </w:trPr>
        <w:tc>
          <w:tcPr>
            <w:tcW w:w="2028" w:type="pct"/>
            <w:vAlign w:val="center"/>
          </w:tcPr>
          <w:p w14:paraId="0E8AEBA4" w14:textId="5E0E2FAC" w:rsidR="00893351" w:rsidRPr="007C419D" w:rsidRDefault="00893351" w:rsidP="00C030B9">
            <w:pPr>
              <w:pStyle w:val="TableParagraph"/>
            </w:pPr>
            <w:r w:rsidRPr="007C419D">
              <w:t xml:space="preserve">$/ton </w:t>
            </w:r>
            <w:r w:rsidR="000C2EB3" w:rsidRPr="000C2EB3">
              <w:t>NO</w:t>
            </w:r>
            <w:r w:rsidR="000C2EB3" w:rsidRPr="000C2EB3">
              <w:rPr>
                <w:vertAlign w:val="subscript"/>
              </w:rPr>
              <w:t>X</w:t>
            </w:r>
            <w:r w:rsidRPr="007C419D">
              <w:t xml:space="preserve"> reduced</w:t>
            </w:r>
          </w:p>
        </w:tc>
        <w:tc>
          <w:tcPr>
            <w:tcW w:w="1271" w:type="pct"/>
            <w:vAlign w:val="center"/>
          </w:tcPr>
          <w:p w14:paraId="027EAB61" w14:textId="77777777" w:rsidR="00893351" w:rsidRPr="00654CDD" w:rsidRDefault="00893351" w:rsidP="00C030B9">
            <w:pPr>
              <w:pStyle w:val="TableParagraph"/>
            </w:pPr>
            <w:r w:rsidRPr="00654CDD">
              <w:t>NA</w:t>
            </w:r>
          </w:p>
        </w:tc>
        <w:tc>
          <w:tcPr>
            <w:tcW w:w="1700" w:type="pct"/>
            <w:vAlign w:val="center"/>
          </w:tcPr>
          <w:p w14:paraId="50814F93" w14:textId="77777777" w:rsidR="00893351" w:rsidRPr="004B66C9" w:rsidRDefault="00893351" w:rsidP="00C030B9">
            <w:pPr>
              <w:pStyle w:val="TableParagraph"/>
            </w:pPr>
            <w:r w:rsidRPr="004B66C9">
              <w:rPr>
                <w:color w:val="000000"/>
              </w:rPr>
              <w:t>1,948</w:t>
            </w:r>
          </w:p>
        </w:tc>
      </w:tr>
    </w:tbl>
    <w:p w14:paraId="1157B5A0" w14:textId="0D4CDFAB" w:rsidR="00893351" w:rsidRPr="00654CDD" w:rsidRDefault="00893351" w:rsidP="00832B9F">
      <w:pPr>
        <w:pStyle w:val="Paragraph"/>
      </w:pPr>
      <w:r w:rsidRPr="00654CDD">
        <w:t xml:space="preserve">Ecology used the EPA </w:t>
      </w:r>
      <w:r w:rsidR="00E35B04">
        <w:t>Control Cost Manual</w:t>
      </w:r>
      <w:r w:rsidRPr="00654CDD">
        <w:t xml:space="preserve"> cost with 90</w:t>
      </w:r>
      <w:r w:rsidR="00B07D39">
        <w:t>%</w:t>
      </w:r>
      <w:r w:rsidR="00B07D39" w:rsidRPr="00654CDD">
        <w:t xml:space="preserve"> </w:t>
      </w:r>
      <w:r w:rsidRPr="00654CDD">
        <w:t>controls</w:t>
      </w:r>
      <w:r>
        <w:t>.</w:t>
      </w:r>
    </w:p>
    <w:p w14:paraId="55A818D4" w14:textId="77777777" w:rsidR="00893351" w:rsidRDefault="00893351" w:rsidP="00BF5FE8">
      <w:pPr>
        <w:pStyle w:val="Heading7"/>
      </w:pPr>
      <w:bookmarkStart w:id="216" w:name="_Toc49863888"/>
      <w:bookmarkStart w:id="217" w:name="_Toc51673420"/>
      <w:r w:rsidRPr="009620B7">
        <w:t>CRU #2</w:t>
      </w:r>
      <w:bookmarkEnd w:id="216"/>
      <w:bookmarkEnd w:id="217"/>
      <w:r w:rsidRPr="009620B7">
        <w:t xml:space="preserve"> </w:t>
      </w:r>
    </w:p>
    <w:p w14:paraId="5D13DB05" w14:textId="19750384" w:rsidR="00893351" w:rsidRDefault="00893351" w:rsidP="00832B9F">
      <w:pPr>
        <w:pStyle w:val="Paragraph"/>
      </w:pPr>
      <w:r>
        <w:t>Trinity Consultants supplied a table with the limited backup information.</w:t>
      </w:r>
      <w:r w:rsidR="0067717B">
        <w:t xml:space="preserve"> </w:t>
      </w:r>
      <w:r>
        <w:t>Ecology found the following discrepancies that infla</w:t>
      </w:r>
      <w:r w:rsidR="0067717B">
        <w:t>ted the cost for the retrofit.</w:t>
      </w:r>
    </w:p>
    <w:p w14:paraId="2D14B1E5" w14:textId="4E13C75E" w:rsidR="00C030B9" w:rsidRDefault="00C030B9" w:rsidP="00C030B9">
      <w:pPr>
        <w:pStyle w:val="Caption"/>
        <w:keepNext/>
        <w:spacing w:after="0"/>
      </w:pPr>
      <w:bookmarkStart w:id="218" w:name="_Toc51675389"/>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18</w:t>
      </w:r>
      <w:r w:rsidR="00F45623">
        <w:rPr>
          <w:noProof/>
        </w:rPr>
        <w:fldChar w:fldCharType="end"/>
      </w:r>
      <w:r>
        <w:t xml:space="preserve">: </w:t>
      </w:r>
      <w:r w:rsidRPr="000270E4">
        <w:t>CRU #2 cost comparison</w:t>
      </w:r>
      <w:bookmarkEnd w:id="218"/>
    </w:p>
    <w:tbl>
      <w:tblPr>
        <w:tblStyle w:val="TableGrid"/>
        <w:tblW w:w="5000" w:type="pct"/>
        <w:tblLook w:val="04A0" w:firstRow="1" w:lastRow="0" w:firstColumn="1" w:lastColumn="0" w:noHBand="0" w:noVBand="1"/>
      </w:tblPr>
      <w:tblGrid>
        <w:gridCol w:w="3793"/>
        <w:gridCol w:w="2378"/>
        <w:gridCol w:w="3179"/>
      </w:tblGrid>
      <w:tr w:rsidR="00893351" w:rsidRPr="004B66C9" w14:paraId="1A1D7B0D" w14:textId="77777777" w:rsidTr="00C030B9">
        <w:trPr>
          <w:cantSplit/>
          <w:trHeight w:val="432"/>
          <w:tblHeader/>
        </w:trPr>
        <w:tc>
          <w:tcPr>
            <w:tcW w:w="2028" w:type="pct"/>
          </w:tcPr>
          <w:p w14:paraId="1ADB0F9D" w14:textId="77777777" w:rsidR="00893351" w:rsidRPr="004B66C9" w:rsidRDefault="00893351" w:rsidP="006D219C">
            <w:pPr>
              <w:pStyle w:val="TableParagraph"/>
              <w:rPr>
                <w:b/>
              </w:rPr>
            </w:pPr>
          </w:p>
        </w:tc>
        <w:tc>
          <w:tcPr>
            <w:tcW w:w="1271" w:type="pct"/>
          </w:tcPr>
          <w:p w14:paraId="60F2B633" w14:textId="77777777" w:rsidR="00893351" w:rsidRPr="004B66C9" w:rsidRDefault="00893351" w:rsidP="006D219C">
            <w:pPr>
              <w:pStyle w:val="TableParagraph"/>
              <w:rPr>
                <w:b/>
              </w:rPr>
            </w:pPr>
            <w:r w:rsidRPr="004B66C9">
              <w:rPr>
                <w:b/>
              </w:rPr>
              <w:t>Trinity</w:t>
            </w:r>
            <w:r w:rsidRPr="004B66C9">
              <w:rPr>
                <w:b/>
              </w:rPr>
              <w:br/>
              <w:t>Consultants</w:t>
            </w:r>
          </w:p>
        </w:tc>
        <w:tc>
          <w:tcPr>
            <w:tcW w:w="1700" w:type="pct"/>
          </w:tcPr>
          <w:p w14:paraId="5A44BD42" w14:textId="3D4B8724" w:rsidR="00893351" w:rsidRPr="004B66C9" w:rsidRDefault="00893351" w:rsidP="006D219C">
            <w:pPr>
              <w:pStyle w:val="TableParagraph"/>
              <w:rPr>
                <w:b/>
              </w:rPr>
            </w:pPr>
            <w:r w:rsidRPr="004B66C9">
              <w:rPr>
                <w:b/>
              </w:rPr>
              <w:t xml:space="preserve">Ecology – </w:t>
            </w:r>
            <w:r w:rsidRPr="004B66C9">
              <w:rPr>
                <w:b/>
              </w:rPr>
              <w:br/>
              <w:t xml:space="preserve">EPA </w:t>
            </w:r>
            <w:r w:rsidR="00E35B04" w:rsidRPr="004B66C9">
              <w:rPr>
                <w:b/>
              </w:rPr>
              <w:t>Control Cost Manual</w:t>
            </w:r>
          </w:p>
        </w:tc>
      </w:tr>
      <w:tr w:rsidR="00893351" w:rsidRPr="004B66C9" w14:paraId="1EF95BD4" w14:textId="77777777" w:rsidTr="004B66C9">
        <w:trPr>
          <w:trHeight w:val="432"/>
        </w:trPr>
        <w:tc>
          <w:tcPr>
            <w:tcW w:w="2028" w:type="pct"/>
            <w:vAlign w:val="center"/>
          </w:tcPr>
          <w:p w14:paraId="78064EAD" w14:textId="77777777" w:rsidR="00893351" w:rsidRPr="004B66C9" w:rsidRDefault="00893351" w:rsidP="004B66C9">
            <w:pPr>
              <w:pStyle w:val="TableParagraph"/>
            </w:pPr>
            <w:r w:rsidRPr="004B66C9">
              <w:t>Capital cost $</w:t>
            </w:r>
          </w:p>
        </w:tc>
        <w:tc>
          <w:tcPr>
            <w:tcW w:w="1271" w:type="pct"/>
            <w:vAlign w:val="center"/>
          </w:tcPr>
          <w:p w14:paraId="25054274" w14:textId="77777777" w:rsidR="00893351" w:rsidRPr="004B66C9" w:rsidRDefault="00893351" w:rsidP="004B66C9">
            <w:pPr>
              <w:pStyle w:val="TableParagraph"/>
            </w:pPr>
            <w:r w:rsidRPr="004B66C9">
              <w:t>5,939,772</w:t>
            </w:r>
          </w:p>
        </w:tc>
        <w:tc>
          <w:tcPr>
            <w:tcW w:w="1700" w:type="pct"/>
            <w:vAlign w:val="center"/>
          </w:tcPr>
          <w:p w14:paraId="55D31C81" w14:textId="77777777" w:rsidR="00893351" w:rsidRPr="004B66C9" w:rsidRDefault="00893351" w:rsidP="004B66C9">
            <w:pPr>
              <w:pStyle w:val="TableParagraph"/>
            </w:pPr>
            <w:r w:rsidRPr="004B66C9">
              <w:t>5,084,927</w:t>
            </w:r>
          </w:p>
        </w:tc>
      </w:tr>
      <w:tr w:rsidR="00893351" w:rsidRPr="004B66C9" w14:paraId="31526630" w14:textId="77777777" w:rsidTr="004B66C9">
        <w:trPr>
          <w:trHeight w:val="432"/>
        </w:trPr>
        <w:tc>
          <w:tcPr>
            <w:tcW w:w="2028" w:type="pct"/>
            <w:vAlign w:val="center"/>
          </w:tcPr>
          <w:p w14:paraId="5F449B1F" w14:textId="77777777" w:rsidR="00893351" w:rsidRPr="004B66C9" w:rsidRDefault="00893351" w:rsidP="004B66C9">
            <w:pPr>
              <w:pStyle w:val="TableParagraph"/>
            </w:pPr>
            <w:r w:rsidRPr="004B66C9">
              <w:t>Maintenance $/yr</w:t>
            </w:r>
          </w:p>
        </w:tc>
        <w:tc>
          <w:tcPr>
            <w:tcW w:w="1271" w:type="pct"/>
            <w:vAlign w:val="center"/>
          </w:tcPr>
          <w:p w14:paraId="65FFDC8F" w14:textId="77777777" w:rsidR="00893351" w:rsidRPr="004B66C9" w:rsidRDefault="00893351" w:rsidP="004B66C9">
            <w:pPr>
              <w:pStyle w:val="TableParagraph"/>
            </w:pPr>
            <w:r w:rsidRPr="004B66C9">
              <w:t>29,699</w:t>
            </w:r>
          </w:p>
        </w:tc>
        <w:tc>
          <w:tcPr>
            <w:tcW w:w="1700" w:type="pct"/>
            <w:vAlign w:val="center"/>
          </w:tcPr>
          <w:p w14:paraId="23BD5429" w14:textId="77777777" w:rsidR="00893351" w:rsidRPr="004B66C9" w:rsidRDefault="00893351" w:rsidP="004B66C9">
            <w:pPr>
              <w:pStyle w:val="TableParagraph"/>
            </w:pPr>
            <w:r w:rsidRPr="004B66C9">
              <w:t>25,425</w:t>
            </w:r>
          </w:p>
        </w:tc>
      </w:tr>
      <w:tr w:rsidR="00893351" w:rsidRPr="004B66C9" w14:paraId="0F6A2699" w14:textId="77777777" w:rsidTr="004B66C9">
        <w:trPr>
          <w:trHeight w:val="432"/>
        </w:trPr>
        <w:tc>
          <w:tcPr>
            <w:tcW w:w="2028" w:type="pct"/>
            <w:vAlign w:val="center"/>
          </w:tcPr>
          <w:p w14:paraId="4127093E" w14:textId="77777777" w:rsidR="00893351" w:rsidRPr="004B66C9" w:rsidRDefault="00893351" w:rsidP="004B66C9">
            <w:pPr>
              <w:pStyle w:val="TableParagraph"/>
            </w:pPr>
            <w:r w:rsidRPr="004B66C9">
              <w:t>Reagent $/yr</w:t>
            </w:r>
          </w:p>
        </w:tc>
        <w:tc>
          <w:tcPr>
            <w:tcW w:w="1271" w:type="pct"/>
            <w:vAlign w:val="center"/>
          </w:tcPr>
          <w:p w14:paraId="119A6625" w14:textId="77777777" w:rsidR="00893351" w:rsidRPr="004B66C9" w:rsidRDefault="00893351" w:rsidP="004B66C9">
            <w:pPr>
              <w:pStyle w:val="TableParagraph"/>
            </w:pPr>
            <w:r w:rsidRPr="004B66C9">
              <w:t>6,165</w:t>
            </w:r>
          </w:p>
        </w:tc>
        <w:tc>
          <w:tcPr>
            <w:tcW w:w="1700" w:type="pct"/>
            <w:vAlign w:val="center"/>
          </w:tcPr>
          <w:p w14:paraId="6B4D4C04" w14:textId="77777777" w:rsidR="00893351" w:rsidRPr="004B66C9" w:rsidRDefault="00893351" w:rsidP="004B66C9">
            <w:pPr>
              <w:pStyle w:val="TableParagraph"/>
            </w:pPr>
            <w:r w:rsidRPr="004B66C9">
              <w:t>20,677</w:t>
            </w:r>
          </w:p>
        </w:tc>
      </w:tr>
      <w:tr w:rsidR="00893351" w:rsidRPr="004B66C9" w14:paraId="0CF5FBD6" w14:textId="77777777" w:rsidTr="004B66C9">
        <w:trPr>
          <w:trHeight w:val="432"/>
        </w:trPr>
        <w:tc>
          <w:tcPr>
            <w:tcW w:w="2028" w:type="pct"/>
            <w:vAlign w:val="center"/>
          </w:tcPr>
          <w:p w14:paraId="765779D8" w14:textId="77777777" w:rsidR="00893351" w:rsidRPr="004B66C9" w:rsidRDefault="00893351" w:rsidP="004B66C9">
            <w:pPr>
              <w:pStyle w:val="TableParagraph"/>
            </w:pPr>
            <w:r w:rsidRPr="004B66C9">
              <w:t>Catalyst $/yr</w:t>
            </w:r>
          </w:p>
        </w:tc>
        <w:tc>
          <w:tcPr>
            <w:tcW w:w="1271" w:type="pct"/>
            <w:vAlign w:val="center"/>
          </w:tcPr>
          <w:p w14:paraId="14EA5180" w14:textId="77777777" w:rsidR="00893351" w:rsidRPr="004B66C9" w:rsidRDefault="00893351" w:rsidP="004B66C9">
            <w:pPr>
              <w:pStyle w:val="TableParagraph"/>
            </w:pPr>
            <w:r w:rsidRPr="004B66C9">
              <w:t>13,454</w:t>
            </w:r>
          </w:p>
        </w:tc>
        <w:tc>
          <w:tcPr>
            <w:tcW w:w="1700" w:type="pct"/>
            <w:vAlign w:val="center"/>
          </w:tcPr>
          <w:p w14:paraId="7C45630E" w14:textId="77777777" w:rsidR="00893351" w:rsidRPr="004B66C9" w:rsidRDefault="00893351" w:rsidP="004B66C9">
            <w:pPr>
              <w:pStyle w:val="TableParagraph"/>
            </w:pPr>
            <w:r w:rsidRPr="004B66C9">
              <w:t>11,982</w:t>
            </w:r>
          </w:p>
        </w:tc>
      </w:tr>
      <w:tr w:rsidR="00893351" w:rsidRPr="004B66C9" w14:paraId="491855C8" w14:textId="77777777" w:rsidTr="004B66C9">
        <w:trPr>
          <w:trHeight w:val="432"/>
        </w:trPr>
        <w:tc>
          <w:tcPr>
            <w:tcW w:w="2028" w:type="pct"/>
            <w:vAlign w:val="center"/>
          </w:tcPr>
          <w:p w14:paraId="53CAFC02" w14:textId="77777777" w:rsidR="00893351" w:rsidRPr="004B66C9" w:rsidRDefault="00893351" w:rsidP="004B66C9">
            <w:pPr>
              <w:pStyle w:val="TableParagraph"/>
            </w:pPr>
            <w:r w:rsidRPr="004B66C9">
              <w:t>Annualized cost $/yr</w:t>
            </w:r>
          </w:p>
        </w:tc>
        <w:tc>
          <w:tcPr>
            <w:tcW w:w="1271" w:type="pct"/>
            <w:vAlign w:val="center"/>
          </w:tcPr>
          <w:p w14:paraId="2D32CC91" w14:textId="77777777" w:rsidR="00893351" w:rsidRPr="004B66C9" w:rsidRDefault="00893351" w:rsidP="004B66C9">
            <w:pPr>
              <w:pStyle w:val="TableParagraph"/>
            </w:pPr>
            <w:r w:rsidRPr="004B66C9">
              <w:t>635,480</w:t>
            </w:r>
          </w:p>
        </w:tc>
        <w:tc>
          <w:tcPr>
            <w:tcW w:w="1700" w:type="pct"/>
            <w:vAlign w:val="center"/>
          </w:tcPr>
          <w:p w14:paraId="10DEA97A" w14:textId="77777777" w:rsidR="00893351" w:rsidRPr="004B66C9" w:rsidRDefault="00893351" w:rsidP="004B66C9">
            <w:pPr>
              <w:pStyle w:val="TableParagraph"/>
            </w:pPr>
            <w:r w:rsidRPr="004B66C9">
              <w:t>437,150</w:t>
            </w:r>
          </w:p>
        </w:tc>
      </w:tr>
      <w:tr w:rsidR="00893351" w:rsidRPr="004B66C9" w14:paraId="6D51BE00" w14:textId="77777777" w:rsidTr="004B66C9">
        <w:trPr>
          <w:trHeight w:val="432"/>
        </w:trPr>
        <w:tc>
          <w:tcPr>
            <w:tcW w:w="2028" w:type="pct"/>
            <w:vAlign w:val="center"/>
          </w:tcPr>
          <w:p w14:paraId="459FB6CB" w14:textId="11C88AB0" w:rsidR="00893351" w:rsidRPr="004B66C9" w:rsidRDefault="000C2EB3" w:rsidP="004B66C9">
            <w:pPr>
              <w:pStyle w:val="TableParagraph"/>
            </w:pPr>
            <w:r w:rsidRPr="004B66C9">
              <w:t>NO</w:t>
            </w:r>
            <w:r w:rsidRPr="004B66C9">
              <w:rPr>
                <w:vertAlign w:val="subscript"/>
              </w:rPr>
              <w:t>X</w:t>
            </w:r>
            <w:r w:rsidR="00893351" w:rsidRPr="004B66C9">
              <w:t xml:space="preserve"> tpy reduced</w:t>
            </w:r>
          </w:p>
        </w:tc>
        <w:tc>
          <w:tcPr>
            <w:tcW w:w="1271" w:type="pct"/>
            <w:vAlign w:val="center"/>
          </w:tcPr>
          <w:p w14:paraId="1B345B1F" w14:textId="77777777" w:rsidR="00893351" w:rsidRPr="004B66C9" w:rsidRDefault="00893351" w:rsidP="004B66C9">
            <w:pPr>
              <w:pStyle w:val="TableParagraph"/>
            </w:pPr>
            <w:r w:rsidRPr="004B66C9">
              <w:t>59</w:t>
            </w:r>
          </w:p>
        </w:tc>
        <w:tc>
          <w:tcPr>
            <w:tcW w:w="1700" w:type="pct"/>
            <w:vAlign w:val="center"/>
          </w:tcPr>
          <w:p w14:paraId="429871C7" w14:textId="77777777" w:rsidR="00893351" w:rsidRPr="004B66C9" w:rsidRDefault="00893351" w:rsidP="004B66C9">
            <w:pPr>
              <w:pStyle w:val="TableParagraph"/>
            </w:pPr>
            <w:r w:rsidRPr="004B66C9">
              <w:t>77</w:t>
            </w:r>
          </w:p>
        </w:tc>
      </w:tr>
      <w:tr w:rsidR="00893351" w:rsidRPr="004B66C9" w14:paraId="43E91A34" w14:textId="77777777" w:rsidTr="004B66C9">
        <w:trPr>
          <w:trHeight w:val="432"/>
        </w:trPr>
        <w:tc>
          <w:tcPr>
            <w:tcW w:w="2028" w:type="pct"/>
            <w:vAlign w:val="center"/>
          </w:tcPr>
          <w:p w14:paraId="73F2F69D" w14:textId="1D8CEE88" w:rsidR="00893351" w:rsidRPr="004B66C9" w:rsidRDefault="00893351" w:rsidP="004B66C9">
            <w:pPr>
              <w:pStyle w:val="TableParagraph"/>
            </w:pPr>
            <w:r w:rsidRPr="004B66C9">
              <w:t xml:space="preserve">$/ton </w:t>
            </w:r>
            <w:r w:rsidR="000C2EB3" w:rsidRPr="004B66C9">
              <w:t>NO</w:t>
            </w:r>
            <w:r w:rsidR="000C2EB3" w:rsidRPr="004B66C9">
              <w:rPr>
                <w:vertAlign w:val="subscript"/>
              </w:rPr>
              <w:t>X</w:t>
            </w:r>
            <w:r w:rsidRPr="004B66C9">
              <w:t xml:space="preserve"> reduced</w:t>
            </w:r>
          </w:p>
        </w:tc>
        <w:tc>
          <w:tcPr>
            <w:tcW w:w="1271" w:type="pct"/>
            <w:vAlign w:val="center"/>
          </w:tcPr>
          <w:p w14:paraId="4AEBE589" w14:textId="77777777" w:rsidR="00893351" w:rsidRPr="004B66C9" w:rsidRDefault="00893351" w:rsidP="004B66C9">
            <w:pPr>
              <w:pStyle w:val="TableParagraph"/>
            </w:pPr>
            <w:r w:rsidRPr="004B66C9">
              <w:t>10,813</w:t>
            </w:r>
          </w:p>
        </w:tc>
        <w:tc>
          <w:tcPr>
            <w:tcW w:w="1700" w:type="pct"/>
            <w:vAlign w:val="center"/>
          </w:tcPr>
          <w:p w14:paraId="56D1A663" w14:textId="77777777" w:rsidR="00893351" w:rsidRPr="004B66C9" w:rsidRDefault="00893351" w:rsidP="004B66C9">
            <w:pPr>
              <w:pStyle w:val="TableParagraph"/>
            </w:pPr>
            <w:r w:rsidRPr="004B66C9">
              <w:t>6,346</w:t>
            </w:r>
          </w:p>
        </w:tc>
      </w:tr>
    </w:tbl>
    <w:p w14:paraId="5015AE2D" w14:textId="3FCC0743" w:rsidR="00893351" w:rsidRPr="00654CDD" w:rsidRDefault="00893351" w:rsidP="00832B9F">
      <w:pPr>
        <w:pStyle w:val="Paragraph"/>
      </w:pPr>
      <w:r w:rsidRPr="00654CDD">
        <w:t xml:space="preserve">Ecology used the </w:t>
      </w:r>
      <w:r w:rsidRPr="00DC2AD0">
        <w:t xml:space="preserve">EPA </w:t>
      </w:r>
      <w:r w:rsidR="00E35B04" w:rsidRPr="00DC2AD0">
        <w:t>Control Cost Manual</w:t>
      </w:r>
      <w:r w:rsidRPr="00654CDD">
        <w:t xml:space="preserve"> cost with 90</w:t>
      </w:r>
      <w:r w:rsidR="00B07D39">
        <w:t>%</w:t>
      </w:r>
      <w:r w:rsidR="00B07D39" w:rsidRPr="00654CDD">
        <w:t xml:space="preserve"> </w:t>
      </w:r>
      <w:r w:rsidRPr="00654CDD">
        <w:t>controls.</w:t>
      </w:r>
      <w:r w:rsidR="0067717B">
        <w:t xml:space="preserve"> </w:t>
      </w:r>
      <w:r w:rsidRPr="00654CDD">
        <w:t>Trinity Consultants cost was similar but they used a lower emission reduction.</w:t>
      </w:r>
    </w:p>
    <w:p w14:paraId="10883EBB" w14:textId="547C6A2D" w:rsidR="00893351" w:rsidRDefault="00893351" w:rsidP="00832B9F">
      <w:pPr>
        <w:pStyle w:val="Paragraph"/>
      </w:pPr>
      <w:r>
        <w:lastRenderedPageBreak/>
        <w:t>Three turbines have SCR installed on the units.</w:t>
      </w:r>
      <w:r w:rsidR="0067717B">
        <w:t xml:space="preserve"> </w:t>
      </w:r>
      <w:r>
        <w:t xml:space="preserve">The current emission limits is 74 tpy at 9 ppm </w:t>
      </w:r>
      <w:r w:rsidR="000C2EB3" w:rsidRPr="001E255C">
        <w:rPr>
          <w:rStyle w:val="ParagraphChar"/>
        </w:rPr>
        <w:t>NO</w:t>
      </w:r>
      <w:r w:rsidR="000C2EB3" w:rsidRPr="001E255C">
        <w:rPr>
          <w:rStyle w:val="ParagraphChar"/>
          <w:vertAlign w:val="subscript"/>
        </w:rPr>
        <w:t>X</w:t>
      </w:r>
      <w:r>
        <w:t>.</w:t>
      </w:r>
      <w:r w:rsidR="0067717B">
        <w:t xml:space="preserve"> </w:t>
      </w:r>
      <w:r>
        <w:t>Actual emissions vary from 46-64 tpy (5.6-7.8 ppm) with less than 2 tpy (less than 0.5 ppm) ammonia.</w:t>
      </w:r>
      <w:r w:rsidR="0067717B">
        <w:t xml:space="preserve"> </w:t>
      </w:r>
      <w:r>
        <w:t xml:space="preserve">Ecology </w:t>
      </w:r>
      <w:r w:rsidR="00502D14">
        <w:t>determines</w:t>
      </w:r>
      <w:r>
        <w:t xml:space="preserve"> that an engineering study </w:t>
      </w:r>
      <w:r w:rsidR="00F14C19">
        <w:t>performed by the facility to establish</w:t>
      </w:r>
      <w:r w:rsidR="00E02730">
        <w:t xml:space="preserve"> </w:t>
      </w:r>
      <w:r>
        <w:t>new lower limits based on RACT.</w:t>
      </w:r>
      <w:r w:rsidR="0067717B">
        <w:t xml:space="preserve"> </w:t>
      </w:r>
      <w:r>
        <w:t xml:space="preserve">Similar new units are permit below 2 ppm </w:t>
      </w:r>
      <w:r w:rsidR="000C2EB3" w:rsidRPr="001E255C">
        <w:rPr>
          <w:rStyle w:val="ParagraphChar"/>
        </w:rPr>
        <w:t>NO</w:t>
      </w:r>
      <w:r w:rsidR="000C2EB3" w:rsidRPr="001E255C">
        <w:rPr>
          <w:rStyle w:val="ParagraphChar"/>
          <w:vertAlign w:val="subscript"/>
        </w:rPr>
        <w:t>X</w:t>
      </w:r>
      <w:r>
        <w:t>.</w:t>
      </w:r>
    </w:p>
    <w:p w14:paraId="578F6BA4" w14:textId="2DFE6F57" w:rsidR="00893351" w:rsidRDefault="00893351" w:rsidP="00843D1A">
      <w:pPr>
        <w:pStyle w:val="Heading7"/>
      </w:pPr>
      <w:bookmarkStart w:id="219" w:name="_Toc51673421"/>
      <w:r>
        <w:t>Summary</w:t>
      </w:r>
      <w:r w:rsidR="003D362E">
        <w:t xml:space="preserve"> &amp; Recommendations</w:t>
      </w:r>
      <w:bookmarkEnd w:id="219"/>
    </w:p>
    <w:p w14:paraId="342166F1" w14:textId="33F5F84F" w:rsidR="00893351" w:rsidRPr="00EF17E7" w:rsidRDefault="00893351" w:rsidP="00832B9F">
      <w:pPr>
        <w:pStyle w:val="Paragraph"/>
      </w:pPr>
      <w:r>
        <w:t>Ecology’s review indicates that additional controls are cost-effective.</w:t>
      </w:r>
      <w:r w:rsidR="0067717B">
        <w:t xml:space="preserve"> </w:t>
      </w:r>
      <w:r>
        <w:t xml:space="preserve">Trinity Consultants’ data is inflated and </w:t>
      </w:r>
      <w:r w:rsidR="001B673C">
        <w:t>E</w:t>
      </w:r>
      <w:r>
        <w:t xml:space="preserve">cology </w:t>
      </w:r>
      <w:r w:rsidRPr="00DC2AD0">
        <w:t xml:space="preserve">cannot </w:t>
      </w:r>
      <w:r w:rsidR="00522DD1" w:rsidRPr="00DC2AD0">
        <w:t>reconcile</w:t>
      </w:r>
      <w:r w:rsidRPr="00DC2AD0">
        <w:t xml:space="preserve"> the values</w:t>
      </w:r>
      <w:r>
        <w:t xml:space="preserve"> presented by Shell. </w:t>
      </w:r>
    </w:p>
    <w:p w14:paraId="04CD65D9" w14:textId="77777777" w:rsidR="003D362E" w:rsidRDefault="003D362E" w:rsidP="003D362E">
      <w:pPr>
        <w:pStyle w:val="Paragraph"/>
      </w:pPr>
      <w:r>
        <w:t xml:space="preserve">Ecology’s Four Factor review has determined the following: </w:t>
      </w:r>
    </w:p>
    <w:p w14:paraId="7197F92D" w14:textId="77777777" w:rsidR="00893351" w:rsidRPr="005A5612" w:rsidRDefault="00893351" w:rsidP="00832B9F">
      <w:pPr>
        <w:pStyle w:val="Paragraph"/>
      </w:pPr>
      <w:r w:rsidRPr="005A5612">
        <w:t>Factor #1 – The costs of compliance</w:t>
      </w:r>
    </w:p>
    <w:p w14:paraId="6E3F3978" w14:textId="685AA37A" w:rsidR="00893351" w:rsidRPr="005A5612" w:rsidRDefault="00893351" w:rsidP="00832B9F">
      <w:pPr>
        <w:pStyle w:val="Paragraph"/>
        <w:ind w:left="720"/>
      </w:pPr>
      <w:r w:rsidRPr="005A5612">
        <w:t>$</w:t>
      </w:r>
      <w:r>
        <w:t>1,900</w:t>
      </w:r>
      <w:r w:rsidRPr="005A5612">
        <w:t>/ton to $</w:t>
      </w:r>
      <w:r>
        <w:t xml:space="preserve"> 6,3</w:t>
      </w:r>
      <w:r w:rsidRPr="005A5612">
        <w:t>00/ton</w:t>
      </w:r>
    </w:p>
    <w:p w14:paraId="0A8C9B38" w14:textId="77777777" w:rsidR="00893351" w:rsidRPr="005A5612" w:rsidRDefault="00893351" w:rsidP="00832B9F">
      <w:pPr>
        <w:pStyle w:val="Paragraph"/>
      </w:pPr>
      <w:r w:rsidRPr="005A5612">
        <w:t xml:space="preserve">Factor #2 – The time necessary for compliance </w:t>
      </w:r>
    </w:p>
    <w:p w14:paraId="4F2B791A" w14:textId="77777777" w:rsidR="00893351" w:rsidRPr="005A5612" w:rsidRDefault="00893351" w:rsidP="00832B9F">
      <w:pPr>
        <w:pStyle w:val="Paragraph"/>
        <w:ind w:left="720"/>
      </w:pPr>
      <w:r w:rsidRPr="005A5612">
        <w:t>During rule development, ecology will accommodate the time necessary for design and installation of the equipment.</w:t>
      </w:r>
    </w:p>
    <w:p w14:paraId="51D1B868" w14:textId="77777777" w:rsidR="00893351" w:rsidRPr="005A5612" w:rsidRDefault="00893351" w:rsidP="00832B9F">
      <w:pPr>
        <w:pStyle w:val="Paragraph"/>
      </w:pPr>
      <w:r w:rsidRPr="005A5612">
        <w:t>Factor #3 – The energy and non-air quality environmental impacts of compliance</w:t>
      </w:r>
    </w:p>
    <w:p w14:paraId="759C3F13" w14:textId="783E7448" w:rsidR="00893351" w:rsidRPr="005A5612" w:rsidRDefault="00893351" w:rsidP="00832B9F">
      <w:pPr>
        <w:pStyle w:val="Paragraph"/>
        <w:ind w:left="720"/>
      </w:pPr>
      <w:r w:rsidRPr="005A5612">
        <w:t>The power needed to drive the exhaust fans is included in the analysis.</w:t>
      </w:r>
    </w:p>
    <w:p w14:paraId="062CBF2E" w14:textId="77777777" w:rsidR="00893351" w:rsidRPr="005A5612" w:rsidRDefault="00893351" w:rsidP="00832B9F">
      <w:pPr>
        <w:pStyle w:val="Paragraph"/>
      </w:pPr>
      <w:r w:rsidRPr="005A5612">
        <w:t>Factor #4 – The remaining useful life on existing source subject to such requirements</w:t>
      </w:r>
    </w:p>
    <w:p w14:paraId="7DAF042D" w14:textId="5AE135F3" w:rsidR="00893351" w:rsidRPr="005A5612" w:rsidRDefault="00893351" w:rsidP="00832B9F">
      <w:pPr>
        <w:pStyle w:val="Paragraph"/>
        <w:ind w:left="720"/>
      </w:pPr>
      <w:r w:rsidRPr="005A5612">
        <w:t>Shell indicates that the BOILER #1 ERIE CITY--31G-F1 had a limited lifetime of 8 years.</w:t>
      </w:r>
      <w:r w:rsidR="0067717B">
        <w:t xml:space="preserve"> </w:t>
      </w:r>
      <w:r w:rsidRPr="005A5612">
        <w:t>Ecology will work with NWCAA to have a regulatory order on the boiler to shut the unit down by January of 2028.</w:t>
      </w:r>
    </w:p>
    <w:p w14:paraId="193178F3" w14:textId="77C16ACD" w:rsidR="00893351" w:rsidRDefault="00893351" w:rsidP="00832B9F">
      <w:pPr>
        <w:pStyle w:val="Paragraph"/>
      </w:pPr>
      <w:r>
        <w:t>Future rule development will follow the RACT process.</w:t>
      </w:r>
    </w:p>
    <w:p w14:paraId="19F9BDA0" w14:textId="77777777" w:rsidR="00893351" w:rsidRDefault="00893351" w:rsidP="00843D1A">
      <w:pPr>
        <w:pStyle w:val="Heading5"/>
      </w:pPr>
      <w:bookmarkStart w:id="220" w:name="_Toc49523857"/>
      <w:bookmarkStart w:id="221" w:name="_Toc49863889"/>
      <w:bookmarkStart w:id="222" w:name="_Toc51673422"/>
      <w:bookmarkStart w:id="223" w:name="_Toc51674439"/>
      <w:r w:rsidRPr="00843D1A">
        <w:t>Tesoro</w:t>
      </w:r>
      <w:bookmarkEnd w:id="220"/>
      <w:bookmarkEnd w:id="221"/>
      <w:bookmarkEnd w:id="222"/>
      <w:bookmarkEnd w:id="223"/>
    </w:p>
    <w:p w14:paraId="1CEC5135" w14:textId="10E815C1" w:rsidR="00893351" w:rsidRDefault="00502D14" w:rsidP="00832B9F">
      <w:pPr>
        <w:pStyle w:val="Paragraph"/>
      </w:pPr>
      <w:r>
        <w:t xml:space="preserve">Marathon Petroleum Company owns </w:t>
      </w:r>
      <w:r w:rsidR="009D3F5E">
        <w:t>t</w:t>
      </w:r>
      <w:r w:rsidR="00893351">
        <w:t>he Tesoro Anacortes facility.</w:t>
      </w:r>
      <w:r w:rsidR="0067717B">
        <w:t xml:space="preserve"> </w:t>
      </w:r>
      <w:r w:rsidR="003D362E">
        <w:t xml:space="preserve">Located in </w:t>
      </w:r>
      <w:r w:rsidR="00893351">
        <w:t>Anacortes</w:t>
      </w:r>
      <w:r w:rsidR="003D362E">
        <w:t>, the</w:t>
      </w:r>
      <w:r w:rsidR="00893351">
        <w:t xml:space="preserve"> refinery has a total crude oil capacity of 119,000 barrels per calendar day (bpcd).</w:t>
      </w:r>
    </w:p>
    <w:p w14:paraId="30F42CEE" w14:textId="53F028B2" w:rsidR="00893351" w:rsidRDefault="00893351" w:rsidP="00832B9F">
      <w:pPr>
        <w:pStyle w:val="Paragraph"/>
      </w:pPr>
      <w:r w:rsidRPr="009B3712">
        <w:t>The refinery processes Canadian crude, domestic crude from North Dakota and Alaska North Slope, and international crudes to manufacture gasoline, distillates, heavy fuel oil, and propane.</w:t>
      </w:r>
      <w:r w:rsidR="0067717B">
        <w:t xml:space="preserve"> </w:t>
      </w:r>
      <w:r w:rsidRPr="009B3712">
        <w:t xml:space="preserve">The refinery distributes products through </w:t>
      </w:r>
      <w:r w:rsidRPr="009B3712" w:rsidDel="00502D14">
        <w:t>pipeline</w:t>
      </w:r>
      <w:r w:rsidR="00502D14" w:rsidRPr="009B3712">
        <w:t>-connected</w:t>
      </w:r>
      <w:r w:rsidRPr="009B3712">
        <w:t xml:space="preserve"> terminals and </w:t>
      </w:r>
      <w:r>
        <w:t xml:space="preserve">Marathon </w:t>
      </w:r>
      <w:r w:rsidR="001B673C">
        <w:t>P</w:t>
      </w:r>
      <w:r>
        <w:t>etroleum Company</w:t>
      </w:r>
      <w:r w:rsidRPr="009B3712">
        <w:t xml:space="preserve"> </w:t>
      </w:r>
      <w:r>
        <w:t>(</w:t>
      </w:r>
      <w:r w:rsidRPr="009B3712">
        <w:t>MPC</w:t>
      </w:r>
      <w:r>
        <w:t>)</w:t>
      </w:r>
      <w:r w:rsidRPr="009B3712">
        <w:t>’s marine terminal via ships and barges.</w:t>
      </w:r>
      <w:r w:rsidR="00093DC6">
        <w:rPr>
          <w:rStyle w:val="FootnoteReference"/>
        </w:rPr>
        <w:footnoteReference w:id="30"/>
      </w:r>
    </w:p>
    <w:p w14:paraId="45718546" w14:textId="58A88193" w:rsidR="0060745E" w:rsidRPr="0060745E" w:rsidRDefault="0060745E" w:rsidP="0060745E">
      <w:pPr>
        <w:pStyle w:val="Caption"/>
        <w:keepNext/>
        <w:spacing w:after="0"/>
      </w:pPr>
      <w:bookmarkStart w:id="224" w:name="_Toc49523858"/>
      <w:bookmarkStart w:id="225" w:name="_Toc49863890"/>
      <w:bookmarkStart w:id="226" w:name="_Toc51675390"/>
      <w:bookmarkEnd w:id="224"/>
      <w:bookmarkEnd w:id="225"/>
      <w:r w:rsidRPr="0060745E">
        <w:lastRenderedPageBreak/>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19</w:t>
      </w:r>
      <w:r w:rsidR="00F45623">
        <w:rPr>
          <w:noProof/>
        </w:rPr>
        <w:fldChar w:fldCharType="end"/>
      </w:r>
      <w:r w:rsidR="0000664C">
        <w:t>: Tesoro e</w:t>
      </w:r>
      <w:r w:rsidRPr="0060745E">
        <w:t xml:space="preserve">mission </w:t>
      </w:r>
      <w:r w:rsidR="0000664C">
        <w:t>r</w:t>
      </w:r>
      <w:r w:rsidRPr="0060745E">
        <w:t xml:space="preserve">ates </w:t>
      </w:r>
      <w:r w:rsidR="0000664C">
        <w:t>p</w:t>
      </w:r>
      <w:r w:rsidRPr="0060745E">
        <w:t>re -</w:t>
      </w:r>
      <w:r w:rsidR="0000664C">
        <w:t xml:space="preserve"> and p</w:t>
      </w:r>
      <w:r w:rsidRPr="0060745E">
        <w:t>ost - Best Available Retrofit Technology</w:t>
      </w:r>
      <w:bookmarkEnd w:id="226"/>
    </w:p>
    <w:tbl>
      <w:tblPr>
        <w:tblStyle w:val="TableGrid"/>
        <w:tblW w:w="5000" w:type="pct"/>
        <w:tblLook w:val="04A0" w:firstRow="1" w:lastRow="0" w:firstColumn="1" w:lastColumn="0" w:noHBand="0" w:noVBand="1"/>
      </w:tblPr>
      <w:tblGrid>
        <w:gridCol w:w="1217"/>
        <w:gridCol w:w="1388"/>
        <w:gridCol w:w="1440"/>
        <w:gridCol w:w="3330"/>
        <w:gridCol w:w="1975"/>
      </w:tblGrid>
      <w:tr w:rsidR="00893351" w14:paraId="2DDACC28" w14:textId="77777777" w:rsidTr="0060745E">
        <w:trPr>
          <w:trHeight w:val="576"/>
          <w:tblHeader/>
        </w:trPr>
        <w:tc>
          <w:tcPr>
            <w:tcW w:w="651" w:type="pct"/>
            <w:vAlign w:val="center"/>
          </w:tcPr>
          <w:p w14:paraId="1368EE37" w14:textId="77777777" w:rsidR="00893351" w:rsidRPr="0060745E" w:rsidRDefault="00893351" w:rsidP="0060745E">
            <w:pPr>
              <w:pStyle w:val="TableParagraph"/>
              <w:rPr>
                <w:b/>
              </w:rPr>
            </w:pPr>
          </w:p>
        </w:tc>
        <w:tc>
          <w:tcPr>
            <w:tcW w:w="742" w:type="pct"/>
            <w:vAlign w:val="center"/>
          </w:tcPr>
          <w:p w14:paraId="3B876702" w14:textId="77777777" w:rsidR="00893351" w:rsidRPr="0060745E" w:rsidRDefault="00893351" w:rsidP="0060745E">
            <w:pPr>
              <w:pStyle w:val="TableParagraph"/>
              <w:rPr>
                <w:b/>
              </w:rPr>
            </w:pPr>
            <w:r w:rsidRPr="0060745E">
              <w:rPr>
                <w:b/>
              </w:rPr>
              <w:t>Pre-BART, tpy</w:t>
            </w:r>
          </w:p>
        </w:tc>
        <w:tc>
          <w:tcPr>
            <w:tcW w:w="770" w:type="pct"/>
            <w:vAlign w:val="center"/>
          </w:tcPr>
          <w:p w14:paraId="548785F3" w14:textId="77777777" w:rsidR="00893351" w:rsidRPr="0060745E" w:rsidRDefault="00893351" w:rsidP="0060745E">
            <w:pPr>
              <w:pStyle w:val="TableParagraph"/>
              <w:rPr>
                <w:b/>
              </w:rPr>
            </w:pPr>
            <w:r w:rsidRPr="0060745E">
              <w:rPr>
                <w:b/>
              </w:rPr>
              <w:t>Post-BART, tpy</w:t>
            </w:r>
          </w:p>
        </w:tc>
        <w:tc>
          <w:tcPr>
            <w:tcW w:w="1781" w:type="pct"/>
            <w:vAlign w:val="center"/>
          </w:tcPr>
          <w:p w14:paraId="6E2AAD64" w14:textId="77777777" w:rsidR="00893351" w:rsidRPr="0060745E" w:rsidRDefault="00893351" w:rsidP="0060745E">
            <w:pPr>
              <w:pStyle w:val="TableParagraph"/>
              <w:rPr>
                <w:b/>
              </w:rPr>
            </w:pPr>
            <w:r w:rsidRPr="0060745E">
              <w:rPr>
                <w:b/>
              </w:rPr>
              <w:t>Basis of comparison</w:t>
            </w:r>
          </w:p>
        </w:tc>
        <w:tc>
          <w:tcPr>
            <w:tcW w:w="1056" w:type="pct"/>
            <w:vAlign w:val="center"/>
          </w:tcPr>
          <w:p w14:paraId="764AC7AA" w14:textId="77777777" w:rsidR="00893351" w:rsidRPr="0060745E" w:rsidRDefault="00893351" w:rsidP="0060745E">
            <w:pPr>
              <w:pStyle w:val="TableParagraph"/>
              <w:rPr>
                <w:b/>
              </w:rPr>
            </w:pPr>
            <w:r w:rsidRPr="0060745E">
              <w:rPr>
                <w:b/>
              </w:rPr>
              <w:t>Sources included in comparison</w:t>
            </w:r>
          </w:p>
        </w:tc>
      </w:tr>
      <w:tr w:rsidR="00893351" w14:paraId="207ADFE5" w14:textId="77777777" w:rsidTr="0060745E">
        <w:trPr>
          <w:trHeight w:val="576"/>
        </w:trPr>
        <w:tc>
          <w:tcPr>
            <w:tcW w:w="651" w:type="pct"/>
            <w:vAlign w:val="center"/>
          </w:tcPr>
          <w:p w14:paraId="3DD6D6B3" w14:textId="0F096DDB" w:rsidR="00893351" w:rsidRDefault="000C2EB3" w:rsidP="0060745E">
            <w:pPr>
              <w:pStyle w:val="TableParagraph"/>
            </w:pPr>
            <w:r w:rsidRPr="000C2EB3">
              <w:t>NO</w:t>
            </w:r>
            <w:r w:rsidRPr="000C2EB3">
              <w:rPr>
                <w:vertAlign w:val="subscript"/>
              </w:rPr>
              <w:t>X</w:t>
            </w:r>
          </w:p>
        </w:tc>
        <w:tc>
          <w:tcPr>
            <w:tcW w:w="742" w:type="pct"/>
            <w:vAlign w:val="center"/>
          </w:tcPr>
          <w:p w14:paraId="75F76565" w14:textId="77777777" w:rsidR="00893351" w:rsidRDefault="00893351" w:rsidP="0060745E">
            <w:pPr>
              <w:pStyle w:val="TableParagraph"/>
            </w:pPr>
            <w:r>
              <w:t>1360</w:t>
            </w:r>
          </w:p>
        </w:tc>
        <w:tc>
          <w:tcPr>
            <w:tcW w:w="770" w:type="pct"/>
            <w:vAlign w:val="center"/>
          </w:tcPr>
          <w:p w14:paraId="2EF9C1C3" w14:textId="77777777" w:rsidR="00893351" w:rsidRDefault="00893351" w:rsidP="0060745E">
            <w:pPr>
              <w:pStyle w:val="TableParagraph"/>
            </w:pPr>
            <w:r>
              <w:t>1303</w:t>
            </w:r>
          </w:p>
        </w:tc>
        <w:tc>
          <w:tcPr>
            <w:tcW w:w="1781" w:type="pct"/>
            <w:vAlign w:val="center"/>
          </w:tcPr>
          <w:p w14:paraId="3E8B293C" w14:textId="77777777" w:rsidR="00893351" w:rsidRDefault="00893351" w:rsidP="0060745E">
            <w:pPr>
              <w:pStyle w:val="TableParagraph"/>
            </w:pPr>
            <w:r>
              <w:t>2005 vs. post-BART projects (F-103 ULNB)</w:t>
            </w:r>
          </w:p>
        </w:tc>
        <w:tc>
          <w:tcPr>
            <w:tcW w:w="1056" w:type="pct"/>
            <w:vAlign w:val="center"/>
          </w:tcPr>
          <w:p w14:paraId="7BB9C300" w14:textId="77777777" w:rsidR="00893351" w:rsidRDefault="00893351" w:rsidP="0060745E">
            <w:pPr>
              <w:pStyle w:val="TableParagraph"/>
            </w:pPr>
            <w:r>
              <w:t>BART sources only</w:t>
            </w:r>
          </w:p>
        </w:tc>
      </w:tr>
      <w:tr w:rsidR="00893351" w14:paraId="727DA138" w14:textId="77777777" w:rsidTr="0060745E">
        <w:trPr>
          <w:trHeight w:val="576"/>
        </w:trPr>
        <w:tc>
          <w:tcPr>
            <w:tcW w:w="651" w:type="pct"/>
            <w:vAlign w:val="center"/>
          </w:tcPr>
          <w:p w14:paraId="24EC28A3" w14:textId="0504ABEA" w:rsidR="00893351" w:rsidRDefault="00AF3E8D" w:rsidP="0060745E">
            <w:pPr>
              <w:pStyle w:val="TableParagraph"/>
            </w:pPr>
            <w:r>
              <w:t>SO</w:t>
            </w:r>
            <w:r w:rsidRPr="00AF3E8D">
              <w:rPr>
                <w:vertAlign w:val="subscript"/>
              </w:rPr>
              <w:t>2</w:t>
            </w:r>
          </w:p>
        </w:tc>
        <w:tc>
          <w:tcPr>
            <w:tcW w:w="742" w:type="pct"/>
            <w:vAlign w:val="center"/>
          </w:tcPr>
          <w:p w14:paraId="12DFC3E5" w14:textId="77777777" w:rsidR="00893351" w:rsidRDefault="00893351" w:rsidP="0060745E">
            <w:pPr>
              <w:pStyle w:val="TableParagraph"/>
            </w:pPr>
            <w:r>
              <w:t>5540</w:t>
            </w:r>
          </w:p>
        </w:tc>
        <w:tc>
          <w:tcPr>
            <w:tcW w:w="770" w:type="pct"/>
            <w:vAlign w:val="center"/>
          </w:tcPr>
          <w:p w14:paraId="2D6AD107" w14:textId="77777777" w:rsidR="00893351" w:rsidRDefault="00893351" w:rsidP="0060745E">
            <w:pPr>
              <w:pStyle w:val="TableParagraph"/>
            </w:pPr>
            <w:r>
              <w:t>474</w:t>
            </w:r>
          </w:p>
        </w:tc>
        <w:tc>
          <w:tcPr>
            <w:tcW w:w="1781" w:type="pct"/>
            <w:vAlign w:val="center"/>
          </w:tcPr>
          <w:p w14:paraId="75E1D327" w14:textId="77777777" w:rsidR="00893351" w:rsidRDefault="00893351" w:rsidP="0060745E">
            <w:pPr>
              <w:pStyle w:val="TableParagraph"/>
            </w:pPr>
            <w:r>
              <w:t>2005 vs. 2008 (FGS; RFG treatment*)</w:t>
            </w:r>
          </w:p>
        </w:tc>
        <w:tc>
          <w:tcPr>
            <w:tcW w:w="1056" w:type="pct"/>
            <w:vAlign w:val="center"/>
          </w:tcPr>
          <w:p w14:paraId="736E88A9" w14:textId="77777777" w:rsidR="00893351" w:rsidRDefault="00893351" w:rsidP="0060745E">
            <w:pPr>
              <w:pStyle w:val="TableParagraph"/>
            </w:pPr>
            <w:r>
              <w:t>All refinery sources</w:t>
            </w:r>
          </w:p>
        </w:tc>
      </w:tr>
      <w:tr w:rsidR="00893351" w14:paraId="77856DF6" w14:textId="77777777" w:rsidTr="0060745E">
        <w:trPr>
          <w:trHeight w:val="576"/>
        </w:trPr>
        <w:tc>
          <w:tcPr>
            <w:tcW w:w="651" w:type="pct"/>
            <w:vAlign w:val="center"/>
          </w:tcPr>
          <w:p w14:paraId="589EDBDA" w14:textId="77777777" w:rsidR="00893351" w:rsidRDefault="00893351" w:rsidP="0060745E">
            <w:pPr>
              <w:pStyle w:val="TableParagraph"/>
            </w:pPr>
            <w:r>
              <w:t>PM/PM1</w:t>
            </w:r>
            <w:r w:rsidRPr="00AF3E8D">
              <w:rPr>
                <w:vertAlign w:val="subscript"/>
              </w:rPr>
              <w:t>0</w:t>
            </w:r>
          </w:p>
        </w:tc>
        <w:tc>
          <w:tcPr>
            <w:tcW w:w="742" w:type="pct"/>
            <w:vAlign w:val="center"/>
          </w:tcPr>
          <w:p w14:paraId="6165136F" w14:textId="77777777" w:rsidR="00893351" w:rsidRDefault="00893351" w:rsidP="0060745E">
            <w:pPr>
              <w:pStyle w:val="TableParagraph"/>
            </w:pPr>
            <w:r>
              <w:t>588</w:t>
            </w:r>
          </w:p>
        </w:tc>
        <w:tc>
          <w:tcPr>
            <w:tcW w:w="770" w:type="pct"/>
            <w:vAlign w:val="center"/>
          </w:tcPr>
          <w:p w14:paraId="7DA76FF9" w14:textId="77777777" w:rsidR="00893351" w:rsidRDefault="00893351" w:rsidP="0060745E">
            <w:pPr>
              <w:pStyle w:val="TableParagraph"/>
            </w:pPr>
            <w:r>
              <w:t>140</w:t>
            </w:r>
          </w:p>
        </w:tc>
        <w:tc>
          <w:tcPr>
            <w:tcW w:w="1781" w:type="pct"/>
            <w:vAlign w:val="center"/>
          </w:tcPr>
          <w:p w14:paraId="1B7F9DD1" w14:textId="77777777" w:rsidR="00893351" w:rsidRDefault="00893351" w:rsidP="0060745E">
            <w:pPr>
              <w:pStyle w:val="TableParagraph"/>
            </w:pPr>
            <w:r>
              <w:t>2005 vs. post BART projects (FGS); no oil burning at F-103)</w:t>
            </w:r>
          </w:p>
        </w:tc>
        <w:tc>
          <w:tcPr>
            <w:tcW w:w="1056" w:type="pct"/>
            <w:vAlign w:val="center"/>
          </w:tcPr>
          <w:p w14:paraId="09D6263B" w14:textId="77777777" w:rsidR="00893351" w:rsidRDefault="00893351" w:rsidP="0060745E">
            <w:pPr>
              <w:pStyle w:val="TableParagraph"/>
            </w:pPr>
            <w:r>
              <w:t>BART sources plus F-302</w:t>
            </w:r>
          </w:p>
        </w:tc>
      </w:tr>
    </w:tbl>
    <w:p w14:paraId="54D86FFA" w14:textId="77777777" w:rsidR="00893351" w:rsidRDefault="00893351" w:rsidP="006D219C">
      <w:pPr>
        <w:pStyle w:val="TableParagraph"/>
      </w:pPr>
      <w:r>
        <w:t>* Refinery Fuel Gas (RFG) treatment improvements affected all combustion sources</w:t>
      </w:r>
    </w:p>
    <w:p w14:paraId="68A5BCDD" w14:textId="632332CD" w:rsidR="009012E5" w:rsidRDefault="009012E5" w:rsidP="0060745E">
      <w:pPr>
        <w:pStyle w:val="Heading7"/>
      </w:pPr>
      <w:bookmarkStart w:id="227" w:name="_Toc51673423"/>
      <w:r>
        <w:t>2010 regional haze BART</w:t>
      </w:r>
      <w:bookmarkEnd w:id="227"/>
    </w:p>
    <w:p w14:paraId="72FFD942" w14:textId="275E7C6E" w:rsidR="009012E5" w:rsidRDefault="009012E5" w:rsidP="002C1CE9">
      <w:r>
        <w:t xml:space="preserve">Tesoro had a BART determiniation for the first implementation period of RH. The BART analysis conluded installation of SCR systems was reasonable if the installation occurred during a regularly scheduled facility outage. </w:t>
      </w:r>
      <w:r w:rsidR="002C1CE9">
        <w:t>The cost was unreasonable if the facility needed to have a special outage just for the SCR installation.</w:t>
      </w:r>
      <w:r>
        <w:t xml:space="preserve"> These outages usually occur every 5 to 6 years.</w:t>
      </w:r>
    </w:p>
    <w:p w14:paraId="04630BBB" w14:textId="22DF55C4" w:rsidR="002C1CE9" w:rsidRPr="009012E5" w:rsidRDefault="002C1CE9" w:rsidP="002C1CE9">
      <w:r>
        <w:t>Tesoro did not have an outage scheduled during the remaining time of the first implementation period. The lack of a scheduled outage made Ecology’s determination as unreasonable and no action recommended.</w:t>
      </w:r>
    </w:p>
    <w:p w14:paraId="0E4C9C2B" w14:textId="77777777" w:rsidR="00893351" w:rsidRPr="00FF379E" w:rsidRDefault="00893351" w:rsidP="0060745E">
      <w:pPr>
        <w:pStyle w:val="Heading7"/>
      </w:pPr>
      <w:bookmarkStart w:id="228" w:name="_Toc51673424"/>
      <w:r w:rsidRPr="00FF379E">
        <w:t>PSD permit</w:t>
      </w:r>
      <w:bookmarkEnd w:id="228"/>
    </w:p>
    <w:p w14:paraId="2C0FE900" w14:textId="6B2B62C2" w:rsidR="00893351" w:rsidRDefault="00893351" w:rsidP="00FF379E">
      <w:pPr>
        <w:pStyle w:val="Paragraph"/>
      </w:pPr>
      <w:r>
        <w:t>On July 18, 2017, Ecology issued a PSD permit to Tesoro.</w:t>
      </w:r>
      <w:r w:rsidR="0067717B">
        <w:t xml:space="preserve"> </w:t>
      </w:r>
      <w:r>
        <w:t xml:space="preserve">During the public comment period, the Federal Land Managers made comments regarding the impacts to the </w:t>
      </w:r>
      <w:r w:rsidR="009012E5">
        <w:t xml:space="preserve">Olympic </w:t>
      </w:r>
      <w:r>
        <w:t>Class 1 area.</w:t>
      </w:r>
      <w:r w:rsidR="0067717B">
        <w:t xml:space="preserve"> </w:t>
      </w:r>
      <w:r>
        <w:t xml:space="preserve">These comments are contained in the </w:t>
      </w:r>
      <w:r w:rsidR="002C1CE9">
        <w:t xml:space="preserve">PSD </w:t>
      </w:r>
      <w:r>
        <w:t xml:space="preserve">technical support document, </w:t>
      </w:r>
      <w:hyperlink r:id="rId19" w:history="1">
        <w:r w:rsidRPr="00EC60DC">
          <w:rPr>
            <w:rStyle w:val="Hyperlink"/>
          </w:rPr>
          <w:t>https://fortress.wa.gov/ecy/ezshare/AQ/PSD/PSD_PDFS/Tesoro_Anacortes_TSD.pdf</w:t>
        </w:r>
      </w:hyperlink>
    </w:p>
    <w:p w14:paraId="040421A1" w14:textId="77777777" w:rsidR="00893351" w:rsidRDefault="00893351" w:rsidP="00FF379E">
      <w:pPr>
        <w:pStyle w:val="Paragraph"/>
      </w:pPr>
      <w:r>
        <w:t>Federal Land Managers comments 4-6, pages 45-51</w:t>
      </w:r>
    </w:p>
    <w:p w14:paraId="2D8AC9C6" w14:textId="2E3DEF20" w:rsidR="00893351" w:rsidRDefault="002C1CE9" w:rsidP="00FF379E">
      <w:pPr>
        <w:pStyle w:val="Paragraph"/>
      </w:pPr>
      <w:r>
        <w:t>The major issues presented include</w:t>
      </w:r>
      <w:r w:rsidR="00893351">
        <w:t>:</w:t>
      </w:r>
    </w:p>
    <w:p w14:paraId="406B71D1" w14:textId="7E61FB07" w:rsidR="00893351" w:rsidRDefault="00893351" w:rsidP="00FF379E">
      <w:pPr>
        <w:pStyle w:val="BulletedList"/>
      </w:pPr>
      <w:r>
        <w:t xml:space="preserve">Tesoro should be reviewed in the next </w:t>
      </w:r>
      <w:r w:rsidR="00C67AFF">
        <w:t>RH</w:t>
      </w:r>
      <w:r>
        <w:t xml:space="preserve"> period</w:t>
      </w:r>
    </w:p>
    <w:p w14:paraId="74FA444D" w14:textId="77777777" w:rsidR="00893351" w:rsidRDefault="00893351" w:rsidP="00FF379E">
      <w:pPr>
        <w:pStyle w:val="BulletedList"/>
      </w:pPr>
      <w:r>
        <w:t>Noted: Installation of SCR on the new boiler and control of vapors from loading marine vessels</w:t>
      </w:r>
    </w:p>
    <w:p w14:paraId="401B34F6" w14:textId="77777777" w:rsidR="00893351" w:rsidRDefault="00893351" w:rsidP="00FF379E">
      <w:pPr>
        <w:pStyle w:val="BulletedList"/>
      </w:pPr>
      <w:r>
        <w:t>Modeling impacts</w:t>
      </w:r>
    </w:p>
    <w:p w14:paraId="6ECB85ED" w14:textId="77777777" w:rsidR="00893351" w:rsidRDefault="00893351" w:rsidP="00FF379E">
      <w:pPr>
        <w:pStyle w:val="BulletedList"/>
        <w:numPr>
          <w:ilvl w:val="1"/>
          <w:numId w:val="20"/>
        </w:numPr>
      </w:pPr>
      <w:r>
        <w:t>Visibility</w:t>
      </w:r>
    </w:p>
    <w:p w14:paraId="10DDB6A8" w14:textId="77777777" w:rsidR="00893351" w:rsidRDefault="00893351" w:rsidP="00FF379E">
      <w:pPr>
        <w:pStyle w:val="BulletedList"/>
        <w:numPr>
          <w:ilvl w:val="1"/>
          <w:numId w:val="20"/>
        </w:numPr>
      </w:pPr>
      <w:r>
        <w:t>Deposition</w:t>
      </w:r>
    </w:p>
    <w:p w14:paraId="24B511B1" w14:textId="77777777" w:rsidR="00893351" w:rsidRDefault="00893351" w:rsidP="0060745E">
      <w:pPr>
        <w:pStyle w:val="Heading6"/>
      </w:pPr>
      <w:bookmarkStart w:id="229" w:name="_Toc49523860"/>
      <w:bookmarkStart w:id="230" w:name="_Toc49863892"/>
      <w:bookmarkStart w:id="231" w:name="_Toc51673425"/>
      <w:r>
        <w:t>Regional Haze, Four Factor Analysis 2020</w:t>
      </w:r>
      <w:bookmarkEnd w:id="229"/>
      <w:bookmarkEnd w:id="230"/>
      <w:bookmarkEnd w:id="231"/>
    </w:p>
    <w:p w14:paraId="517471CA" w14:textId="6BF80EE1" w:rsidR="00893351" w:rsidRDefault="00893351" w:rsidP="00FF379E">
      <w:pPr>
        <w:pStyle w:val="Paragraph"/>
      </w:pPr>
      <w:r>
        <w:t>In 2010</w:t>
      </w:r>
      <w:r w:rsidR="00543D56">
        <w:t>,</w:t>
      </w:r>
      <w:r>
        <w:t xml:space="preserve"> BART and Federal Implementation Plan Tesoro found that four of the BART-eligible sources contribute approximately 93</w:t>
      </w:r>
      <w:r w:rsidR="00543D56">
        <w:t xml:space="preserve"> percent</w:t>
      </w:r>
      <w:r>
        <w:t xml:space="preserve"> of the </w:t>
      </w:r>
      <w:r w:rsidR="000C2EB3" w:rsidRPr="001E255C">
        <w:rPr>
          <w:rStyle w:val="ParagraphChar"/>
        </w:rPr>
        <w:t>NO</w:t>
      </w:r>
      <w:r w:rsidR="000C2EB3" w:rsidRPr="001E255C">
        <w:rPr>
          <w:rStyle w:val="ParagraphChar"/>
          <w:vertAlign w:val="subscript"/>
        </w:rPr>
        <w:t>X</w:t>
      </w:r>
      <w:r>
        <w:t xml:space="preserve"> emissions from the 14 combustion sources: F-103, F-304, F-6650, and F-6651.</w:t>
      </w:r>
      <w:r w:rsidR="0067717B">
        <w:t xml:space="preserve"> </w:t>
      </w:r>
      <w:r>
        <w:t xml:space="preserve">Tesoro identified that it was cost effective to add </w:t>
      </w:r>
      <w:r w:rsidR="000C2EB3" w:rsidRPr="001E255C">
        <w:rPr>
          <w:rStyle w:val="ParagraphChar"/>
        </w:rPr>
        <w:lastRenderedPageBreak/>
        <w:t>NO</w:t>
      </w:r>
      <w:r w:rsidR="000C2EB3" w:rsidRPr="001E255C">
        <w:rPr>
          <w:rStyle w:val="ParagraphChar"/>
          <w:vertAlign w:val="subscript"/>
        </w:rPr>
        <w:t>X</w:t>
      </w:r>
      <w:r>
        <w:t xml:space="preserve"> controls on these four units.</w:t>
      </w:r>
      <w:r w:rsidR="0067717B">
        <w:t xml:space="preserve"> </w:t>
      </w:r>
      <w:r>
        <w:t xml:space="preserve">It was determined that there was not enough time to install this equipment during the 2010 planning cycle thus EPA allowed an alternative to adding </w:t>
      </w:r>
      <w:r w:rsidR="000C2EB3" w:rsidRPr="001E255C">
        <w:rPr>
          <w:rStyle w:val="ParagraphChar"/>
        </w:rPr>
        <w:t>NO</w:t>
      </w:r>
      <w:r w:rsidR="000C2EB3" w:rsidRPr="001E255C">
        <w:rPr>
          <w:rStyle w:val="ParagraphChar"/>
          <w:vertAlign w:val="subscript"/>
        </w:rPr>
        <w:t>X</w:t>
      </w:r>
      <w:r w:rsidR="008731AF">
        <w:t xml:space="preserve"> controls.</w:t>
      </w:r>
    </w:p>
    <w:p w14:paraId="1E01F80D" w14:textId="43FAAA94" w:rsidR="00893351" w:rsidRDefault="00893351" w:rsidP="00FF379E">
      <w:pPr>
        <w:pStyle w:val="Paragraph"/>
      </w:pPr>
      <w:r>
        <w:t>Tesoro submitted a FFA to Ecology in April 2020.</w:t>
      </w:r>
      <w:r w:rsidR="0067717B">
        <w:t xml:space="preserve"> </w:t>
      </w:r>
      <w:r w:rsidDel="00543D56">
        <w:t>BARR Consultants</w:t>
      </w:r>
      <w:r w:rsidR="00543D56">
        <w:t xml:space="preserve"> prepared it</w:t>
      </w:r>
      <w:r>
        <w:t>.</w:t>
      </w:r>
      <w:r w:rsidR="0067717B">
        <w:t xml:space="preserve"> </w:t>
      </w:r>
      <w:r>
        <w:t xml:space="preserve">Ecology performed an analysis and concluded that the technical data used in the review was based on the EPA </w:t>
      </w:r>
      <w:r w:rsidR="00CE3E47">
        <w:t xml:space="preserve">Control </w:t>
      </w:r>
      <w:r>
        <w:t xml:space="preserve">Cost </w:t>
      </w:r>
      <w:r w:rsidR="00CE3E47">
        <w:t>M</w:t>
      </w:r>
      <w:r>
        <w:t xml:space="preserve">anual with an inflated factor for </w:t>
      </w:r>
      <w:r w:rsidRPr="00854163">
        <w:t>Ft3/min-MMBtu/hr.</w:t>
      </w:r>
      <w:r>
        <w:t xml:space="preserve"> Tesoro’s cost was approximately five to ten times that of the EPA SCR cost manual with the correct factor, therefore ecology could not </w:t>
      </w:r>
      <w:r w:rsidR="00522DD1">
        <w:t>reconcile</w:t>
      </w:r>
      <w:r>
        <w:t xml:space="preserve"> Tesoro’s 2020 cost data.</w:t>
      </w:r>
      <w:r w:rsidR="0067717B">
        <w:t xml:space="preserve"> </w:t>
      </w:r>
      <w:r>
        <w:t xml:space="preserve">The BART cost data was similar to </w:t>
      </w:r>
      <w:r w:rsidR="00050EE0">
        <w:t>E</w:t>
      </w:r>
      <w:r>
        <w:t xml:space="preserve">cology’s 2020 </w:t>
      </w:r>
      <w:r w:rsidRPr="000C1AF9">
        <w:t>cost.</w:t>
      </w:r>
      <w:r w:rsidR="0067717B" w:rsidRPr="000C1AF9">
        <w:t xml:space="preserve"> </w:t>
      </w:r>
      <w:r w:rsidR="00BA40E4" w:rsidRPr="000C1AF9">
        <w:t xml:space="preserve">As stated in the above BP section, </w:t>
      </w:r>
      <w:r w:rsidR="00CE3E47" w:rsidRPr="000C1AF9">
        <w:t>E</w:t>
      </w:r>
      <w:r w:rsidR="00BA40E4" w:rsidRPr="000C1AF9">
        <w:t xml:space="preserve">cology will be using EPA’s </w:t>
      </w:r>
      <w:r w:rsidR="00CE3E47" w:rsidRPr="000C1AF9">
        <w:t>Control Cost</w:t>
      </w:r>
      <w:r w:rsidR="00BA40E4" w:rsidRPr="000C1AF9">
        <w:t xml:space="preserve"> </w:t>
      </w:r>
      <w:r w:rsidR="00CE3E47" w:rsidRPr="000C1AF9">
        <w:t>M</w:t>
      </w:r>
      <w:r w:rsidR="00BA40E4" w:rsidRPr="000C1AF9">
        <w:t>anual to estimate costs</w:t>
      </w:r>
      <w:r w:rsidR="00CE3E47" w:rsidRPr="000C1AF9">
        <w:t>.</w:t>
      </w:r>
    </w:p>
    <w:p w14:paraId="4C95C34B" w14:textId="53BF0430" w:rsidR="00893351" w:rsidRDefault="00893351" w:rsidP="00FF379E">
      <w:pPr>
        <w:pStyle w:val="Paragraph"/>
      </w:pPr>
      <w:r>
        <w:t xml:space="preserve">The following is Ecology’s review </w:t>
      </w:r>
      <w:r w:rsidR="00E86E32">
        <w:t xml:space="preserve">of </w:t>
      </w:r>
      <w:r>
        <w:t>the Four Factor Analysis supplied by Tesoro on selected equipment compared to BART and the EPA SCR cost model:</w:t>
      </w:r>
    </w:p>
    <w:p w14:paraId="51729522" w14:textId="3970FDD5" w:rsidR="0060745E" w:rsidRDefault="0060745E" w:rsidP="0060745E">
      <w:pPr>
        <w:pStyle w:val="Caption"/>
        <w:keepNext/>
        <w:spacing w:after="0"/>
      </w:pPr>
      <w:bookmarkStart w:id="232" w:name="_Toc51675391"/>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20</w:t>
      </w:r>
      <w:r w:rsidR="00F45623">
        <w:rPr>
          <w:noProof/>
        </w:rPr>
        <w:fldChar w:fldCharType="end"/>
      </w:r>
      <w:r>
        <w:t xml:space="preserve">: </w:t>
      </w:r>
      <w:r w:rsidRPr="008610F0">
        <w:t xml:space="preserve">Tesoro </w:t>
      </w:r>
      <w:r w:rsidR="0000664C">
        <w:t>equipment i</w:t>
      </w:r>
      <w:r w:rsidRPr="008610F0">
        <w:t xml:space="preserve">dentified for RACT </w:t>
      </w:r>
      <w:r w:rsidR="0000664C">
        <w:t>r</w:t>
      </w:r>
      <w:r w:rsidRPr="008610F0">
        <w:t xml:space="preserve">ule </w:t>
      </w:r>
      <w:r w:rsidR="0000664C">
        <w:t>d</w:t>
      </w:r>
      <w:r w:rsidRPr="008610F0">
        <w:t>evelopment</w:t>
      </w:r>
      <w:bookmarkEnd w:id="232"/>
    </w:p>
    <w:tbl>
      <w:tblPr>
        <w:tblStyle w:val="TableGrid"/>
        <w:tblW w:w="5000" w:type="pct"/>
        <w:tblLook w:val="04A0" w:firstRow="1" w:lastRow="0" w:firstColumn="1" w:lastColumn="0" w:noHBand="0" w:noVBand="1"/>
      </w:tblPr>
      <w:tblGrid>
        <w:gridCol w:w="1315"/>
        <w:gridCol w:w="2326"/>
        <w:gridCol w:w="1423"/>
        <w:gridCol w:w="1423"/>
        <w:gridCol w:w="1423"/>
        <w:gridCol w:w="1440"/>
      </w:tblGrid>
      <w:tr w:rsidR="00893351" w:rsidRPr="006D219C" w14:paraId="2FFDCBE8" w14:textId="77777777" w:rsidTr="0060745E">
        <w:trPr>
          <w:trHeight w:val="576"/>
          <w:tblHeader/>
        </w:trPr>
        <w:tc>
          <w:tcPr>
            <w:tcW w:w="703" w:type="pct"/>
            <w:vAlign w:val="center"/>
            <w:hideMark/>
          </w:tcPr>
          <w:p w14:paraId="5A001862" w14:textId="77777777" w:rsidR="00893351" w:rsidRPr="0060745E" w:rsidRDefault="00893351" w:rsidP="0060745E">
            <w:pPr>
              <w:pStyle w:val="TableParagraph"/>
              <w:rPr>
                <w:b/>
              </w:rPr>
            </w:pPr>
            <w:r w:rsidRPr="0060745E">
              <w:rPr>
                <w:b/>
              </w:rPr>
              <w:t>Company</w:t>
            </w:r>
          </w:p>
        </w:tc>
        <w:tc>
          <w:tcPr>
            <w:tcW w:w="1244" w:type="pct"/>
            <w:vAlign w:val="center"/>
            <w:hideMark/>
          </w:tcPr>
          <w:p w14:paraId="50B4506D" w14:textId="77777777" w:rsidR="00893351" w:rsidRPr="0060745E" w:rsidRDefault="00893351" w:rsidP="0060745E">
            <w:pPr>
              <w:pStyle w:val="TableParagraph"/>
              <w:rPr>
                <w:b/>
              </w:rPr>
            </w:pPr>
            <w:r w:rsidRPr="0060745E">
              <w:rPr>
                <w:b/>
              </w:rPr>
              <w:t>Equipment</w:t>
            </w:r>
          </w:p>
        </w:tc>
        <w:tc>
          <w:tcPr>
            <w:tcW w:w="761" w:type="pct"/>
            <w:vAlign w:val="center"/>
            <w:hideMark/>
          </w:tcPr>
          <w:p w14:paraId="307E43DC" w14:textId="77777777" w:rsidR="00893351" w:rsidRPr="0060745E" w:rsidRDefault="00893351" w:rsidP="0060745E">
            <w:pPr>
              <w:pStyle w:val="TableParagraph"/>
              <w:rPr>
                <w:b/>
              </w:rPr>
            </w:pPr>
            <w:r w:rsidRPr="0060745E">
              <w:rPr>
                <w:b/>
              </w:rPr>
              <w:t>EPA Model 2020 $/Ton</w:t>
            </w:r>
          </w:p>
        </w:tc>
        <w:tc>
          <w:tcPr>
            <w:tcW w:w="761" w:type="pct"/>
            <w:vAlign w:val="center"/>
            <w:hideMark/>
          </w:tcPr>
          <w:p w14:paraId="76FE15BA" w14:textId="77777777" w:rsidR="00893351" w:rsidRPr="0060745E" w:rsidRDefault="00893351" w:rsidP="0060745E">
            <w:pPr>
              <w:pStyle w:val="TableParagraph"/>
              <w:rPr>
                <w:b/>
              </w:rPr>
            </w:pPr>
            <w:r w:rsidRPr="0060745E">
              <w:rPr>
                <w:b/>
              </w:rPr>
              <w:t>Tesoro 2020 $/Ton</w:t>
            </w:r>
          </w:p>
        </w:tc>
        <w:tc>
          <w:tcPr>
            <w:tcW w:w="761" w:type="pct"/>
            <w:vAlign w:val="center"/>
            <w:hideMark/>
          </w:tcPr>
          <w:p w14:paraId="0C94735D" w14:textId="77777777" w:rsidR="00893351" w:rsidRPr="0060745E" w:rsidRDefault="00893351" w:rsidP="0060745E">
            <w:pPr>
              <w:pStyle w:val="TableParagraph"/>
              <w:rPr>
                <w:b/>
              </w:rPr>
            </w:pPr>
            <w:r w:rsidRPr="0060745E">
              <w:rPr>
                <w:b/>
              </w:rPr>
              <w:t>BART 2008 $/Ton</w:t>
            </w:r>
          </w:p>
        </w:tc>
        <w:tc>
          <w:tcPr>
            <w:tcW w:w="770" w:type="pct"/>
            <w:vAlign w:val="center"/>
            <w:hideMark/>
          </w:tcPr>
          <w:p w14:paraId="361A74C0" w14:textId="77777777" w:rsidR="00893351" w:rsidRPr="0060745E" w:rsidRDefault="00893351" w:rsidP="0060745E">
            <w:pPr>
              <w:pStyle w:val="TableParagraph"/>
              <w:rPr>
                <w:b/>
              </w:rPr>
            </w:pPr>
            <w:r w:rsidRPr="0060745E">
              <w:rPr>
                <w:b/>
              </w:rPr>
              <w:t>TPY Reduced</w:t>
            </w:r>
          </w:p>
        </w:tc>
      </w:tr>
      <w:tr w:rsidR="00893351" w:rsidRPr="006D219C" w14:paraId="1F68CC42" w14:textId="77777777" w:rsidTr="0060745E">
        <w:trPr>
          <w:trHeight w:val="576"/>
        </w:trPr>
        <w:tc>
          <w:tcPr>
            <w:tcW w:w="703" w:type="pct"/>
            <w:vAlign w:val="center"/>
            <w:hideMark/>
          </w:tcPr>
          <w:p w14:paraId="36845B2C" w14:textId="2E5A107B" w:rsidR="00893351" w:rsidRPr="006D219C" w:rsidRDefault="00A71764" w:rsidP="0060745E">
            <w:pPr>
              <w:pStyle w:val="TableParagraph"/>
            </w:pPr>
            <w:r>
              <w:t>Tesoro</w:t>
            </w:r>
            <w:r w:rsidR="00893351" w:rsidRPr="006D219C">
              <w:t xml:space="preserve"> </w:t>
            </w:r>
          </w:p>
        </w:tc>
        <w:tc>
          <w:tcPr>
            <w:tcW w:w="1244" w:type="pct"/>
            <w:vAlign w:val="center"/>
            <w:hideMark/>
          </w:tcPr>
          <w:p w14:paraId="0EAA834D" w14:textId="77777777" w:rsidR="00893351" w:rsidRPr="006D219C" w:rsidRDefault="00893351" w:rsidP="0060745E">
            <w:pPr>
              <w:pStyle w:val="TableParagraph"/>
            </w:pPr>
            <w:r w:rsidRPr="006D219C">
              <w:t xml:space="preserve">FCCU </w:t>
            </w:r>
          </w:p>
        </w:tc>
        <w:tc>
          <w:tcPr>
            <w:tcW w:w="761" w:type="pct"/>
            <w:vAlign w:val="center"/>
            <w:hideMark/>
          </w:tcPr>
          <w:p w14:paraId="3E7BCC0F" w14:textId="77777777" w:rsidR="00893351" w:rsidRPr="006D219C" w:rsidRDefault="00893351" w:rsidP="0060745E">
            <w:pPr>
              <w:pStyle w:val="TableParagraph"/>
            </w:pPr>
            <w:r w:rsidRPr="006D219C">
              <w:t xml:space="preserve">1,159 </w:t>
            </w:r>
          </w:p>
        </w:tc>
        <w:tc>
          <w:tcPr>
            <w:tcW w:w="761" w:type="pct"/>
            <w:vAlign w:val="center"/>
            <w:hideMark/>
          </w:tcPr>
          <w:p w14:paraId="2E501FEF" w14:textId="77777777" w:rsidR="00893351" w:rsidRPr="006D219C" w:rsidRDefault="00893351" w:rsidP="0060745E">
            <w:pPr>
              <w:pStyle w:val="TableParagraph"/>
            </w:pPr>
            <w:r w:rsidRPr="006D219C">
              <w:t xml:space="preserve">14,381 </w:t>
            </w:r>
          </w:p>
        </w:tc>
        <w:tc>
          <w:tcPr>
            <w:tcW w:w="761" w:type="pct"/>
            <w:vAlign w:val="center"/>
            <w:hideMark/>
          </w:tcPr>
          <w:p w14:paraId="52E5EE69" w14:textId="77777777" w:rsidR="00893351" w:rsidRPr="006D219C" w:rsidRDefault="00893351" w:rsidP="0060745E">
            <w:pPr>
              <w:pStyle w:val="TableParagraph"/>
            </w:pPr>
            <w:r w:rsidRPr="006D219C">
              <w:t xml:space="preserve">4,592 </w:t>
            </w:r>
          </w:p>
        </w:tc>
        <w:tc>
          <w:tcPr>
            <w:tcW w:w="770" w:type="pct"/>
            <w:vAlign w:val="center"/>
            <w:hideMark/>
          </w:tcPr>
          <w:p w14:paraId="59F82323" w14:textId="77777777" w:rsidR="00893351" w:rsidRPr="006D219C" w:rsidRDefault="00893351" w:rsidP="0060745E">
            <w:pPr>
              <w:pStyle w:val="TableParagraph"/>
            </w:pPr>
            <w:r w:rsidRPr="006D219C">
              <w:t>843.3</w:t>
            </w:r>
          </w:p>
        </w:tc>
      </w:tr>
      <w:tr w:rsidR="00A71764" w:rsidRPr="006D219C" w14:paraId="522AB754" w14:textId="77777777" w:rsidTr="00A71764">
        <w:trPr>
          <w:trHeight w:val="576"/>
        </w:trPr>
        <w:tc>
          <w:tcPr>
            <w:tcW w:w="703" w:type="pct"/>
            <w:vAlign w:val="center"/>
            <w:hideMark/>
          </w:tcPr>
          <w:p w14:paraId="1270D1F4" w14:textId="46FE1E7E" w:rsidR="00A71764" w:rsidRPr="006D219C" w:rsidRDefault="00A71764" w:rsidP="00A71764">
            <w:pPr>
              <w:pStyle w:val="TableParagraph"/>
            </w:pPr>
            <w:r w:rsidRPr="00FA1868">
              <w:t>Tesoro</w:t>
            </w:r>
          </w:p>
        </w:tc>
        <w:tc>
          <w:tcPr>
            <w:tcW w:w="1244" w:type="pct"/>
            <w:vAlign w:val="center"/>
            <w:hideMark/>
          </w:tcPr>
          <w:p w14:paraId="0D33262E" w14:textId="41E72697" w:rsidR="00A71764" w:rsidRPr="006D219C" w:rsidRDefault="00A71764" w:rsidP="00A71764">
            <w:pPr>
              <w:pStyle w:val="TableParagraph"/>
            </w:pPr>
            <w:r w:rsidRPr="006D219C">
              <w:t xml:space="preserve">F 102 </w:t>
            </w:r>
            <w:r>
              <w:t>Crude Heater</w:t>
            </w:r>
          </w:p>
        </w:tc>
        <w:tc>
          <w:tcPr>
            <w:tcW w:w="761" w:type="pct"/>
            <w:vAlign w:val="center"/>
            <w:hideMark/>
          </w:tcPr>
          <w:p w14:paraId="7E4C7073" w14:textId="77777777" w:rsidR="00A71764" w:rsidRPr="006D219C" w:rsidRDefault="00A71764" w:rsidP="00A71764">
            <w:pPr>
              <w:pStyle w:val="TableParagraph"/>
            </w:pPr>
            <w:r w:rsidRPr="006D219C">
              <w:t xml:space="preserve">2,962 </w:t>
            </w:r>
          </w:p>
        </w:tc>
        <w:tc>
          <w:tcPr>
            <w:tcW w:w="761" w:type="pct"/>
            <w:vAlign w:val="center"/>
            <w:hideMark/>
          </w:tcPr>
          <w:p w14:paraId="5582DF64" w14:textId="77777777" w:rsidR="00A71764" w:rsidRPr="006D219C" w:rsidRDefault="00A71764" w:rsidP="00A71764">
            <w:pPr>
              <w:pStyle w:val="TableParagraph"/>
            </w:pPr>
            <w:r w:rsidRPr="006D219C">
              <w:t xml:space="preserve">16,086 </w:t>
            </w:r>
          </w:p>
        </w:tc>
        <w:tc>
          <w:tcPr>
            <w:tcW w:w="761" w:type="pct"/>
            <w:vAlign w:val="center"/>
            <w:hideMark/>
          </w:tcPr>
          <w:p w14:paraId="18C0E3A9" w14:textId="77777777" w:rsidR="00A71764" w:rsidRPr="006D219C" w:rsidRDefault="00A71764" w:rsidP="00A71764">
            <w:pPr>
              <w:pStyle w:val="TableParagraph"/>
            </w:pPr>
            <w:r w:rsidRPr="006D219C">
              <w:t>--- </w:t>
            </w:r>
          </w:p>
        </w:tc>
        <w:tc>
          <w:tcPr>
            <w:tcW w:w="770" w:type="pct"/>
            <w:vAlign w:val="center"/>
            <w:hideMark/>
          </w:tcPr>
          <w:p w14:paraId="3AEA8630" w14:textId="77777777" w:rsidR="00A71764" w:rsidRPr="006D219C" w:rsidRDefault="00A71764" w:rsidP="00A71764">
            <w:pPr>
              <w:pStyle w:val="TableParagraph"/>
            </w:pPr>
            <w:r w:rsidRPr="006D219C">
              <w:t>147.6</w:t>
            </w:r>
          </w:p>
        </w:tc>
      </w:tr>
      <w:tr w:rsidR="00A71764" w:rsidRPr="006D219C" w14:paraId="2986B93B" w14:textId="77777777" w:rsidTr="00A71764">
        <w:trPr>
          <w:trHeight w:val="576"/>
        </w:trPr>
        <w:tc>
          <w:tcPr>
            <w:tcW w:w="703" w:type="pct"/>
            <w:vAlign w:val="center"/>
            <w:hideMark/>
          </w:tcPr>
          <w:p w14:paraId="4BC7EDD4" w14:textId="69495C7C" w:rsidR="00A71764" w:rsidRPr="006D219C" w:rsidRDefault="00A71764" w:rsidP="00A71764">
            <w:pPr>
              <w:pStyle w:val="TableParagraph"/>
            </w:pPr>
            <w:r w:rsidRPr="00FA1868">
              <w:t>Tesoro</w:t>
            </w:r>
          </w:p>
        </w:tc>
        <w:tc>
          <w:tcPr>
            <w:tcW w:w="1244" w:type="pct"/>
            <w:vAlign w:val="center"/>
            <w:hideMark/>
          </w:tcPr>
          <w:p w14:paraId="4FFBAF76" w14:textId="6807AAC9" w:rsidR="00A71764" w:rsidRPr="006D219C" w:rsidRDefault="00A71764" w:rsidP="00A71764">
            <w:pPr>
              <w:pStyle w:val="TableParagraph"/>
            </w:pPr>
            <w:r w:rsidRPr="006D219C">
              <w:t xml:space="preserve">F 201 </w:t>
            </w:r>
            <w:r>
              <w:t>Vacuum Flasher Heater</w:t>
            </w:r>
          </w:p>
        </w:tc>
        <w:tc>
          <w:tcPr>
            <w:tcW w:w="761" w:type="pct"/>
            <w:vAlign w:val="center"/>
            <w:hideMark/>
          </w:tcPr>
          <w:p w14:paraId="05872CB8" w14:textId="77777777" w:rsidR="00A71764" w:rsidRPr="006D219C" w:rsidRDefault="00A71764" w:rsidP="00A71764">
            <w:pPr>
              <w:pStyle w:val="TableParagraph"/>
            </w:pPr>
            <w:r w:rsidRPr="006D219C">
              <w:t xml:space="preserve">7,589 </w:t>
            </w:r>
          </w:p>
        </w:tc>
        <w:tc>
          <w:tcPr>
            <w:tcW w:w="761" w:type="pct"/>
            <w:vAlign w:val="center"/>
            <w:hideMark/>
          </w:tcPr>
          <w:p w14:paraId="2DCB4312" w14:textId="77777777" w:rsidR="00A71764" w:rsidRPr="006D219C" w:rsidRDefault="00A71764" w:rsidP="00A71764">
            <w:pPr>
              <w:pStyle w:val="TableParagraph"/>
            </w:pPr>
            <w:r w:rsidRPr="006D219C">
              <w:t xml:space="preserve">35,279 </w:t>
            </w:r>
          </w:p>
        </w:tc>
        <w:tc>
          <w:tcPr>
            <w:tcW w:w="761" w:type="pct"/>
            <w:vAlign w:val="center"/>
            <w:hideMark/>
          </w:tcPr>
          <w:p w14:paraId="69D8D42A" w14:textId="77777777" w:rsidR="00A71764" w:rsidRPr="006D219C" w:rsidRDefault="00A71764" w:rsidP="00A71764">
            <w:pPr>
              <w:pStyle w:val="TableParagraph"/>
            </w:pPr>
            <w:r w:rsidRPr="006D219C">
              <w:t>--- </w:t>
            </w:r>
          </w:p>
        </w:tc>
        <w:tc>
          <w:tcPr>
            <w:tcW w:w="770" w:type="pct"/>
            <w:vAlign w:val="center"/>
            <w:hideMark/>
          </w:tcPr>
          <w:p w14:paraId="3E504C2A" w14:textId="77777777" w:rsidR="00A71764" w:rsidRPr="006D219C" w:rsidRDefault="00A71764" w:rsidP="00A71764">
            <w:pPr>
              <w:pStyle w:val="TableParagraph"/>
            </w:pPr>
            <w:r w:rsidRPr="006D219C">
              <w:t>57.6</w:t>
            </w:r>
          </w:p>
        </w:tc>
      </w:tr>
      <w:tr w:rsidR="00A71764" w:rsidRPr="006D219C" w14:paraId="1BA6CE89" w14:textId="77777777" w:rsidTr="00A71764">
        <w:trPr>
          <w:trHeight w:val="576"/>
        </w:trPr>
        <w:tc>
          <w:tcPr>
            <w:tcW w:w="703" w:type="pct"/>
            <w:vAlign w:val="center"/>
            <w:hideMark/>
          </w:tcPr>
          <w:p w14:paraId="307CDB56" w14:textId="1D6F2335" w:rsidR="00A71764" w:rsidRPr="006D219C" w:rsidRDefault="00A71764" w:rsidP="00A71764">
            <w:pPr>
              <w:pStyle w:val="TableParagraph"/>
            </w:pPr>
            <w:r w:rsidRPr="00FA1868">
              <w:t>Tesoro</w:t>
            </w:r>
          </w:p>
        </w:tc>
        <w:tc>
          <w:tcPr>
            <w:tcW w:w="1244" w:type="pct"/>
            <w:vAlign w:val="center"/>
            <w:hideMark/>
          </w:tcPr>
          <w:p w14:paraId="40F72FFC" w14:textId="43FB3A6F" w:rsidR="00A71764" w:rsidRPr="006D219C" w:rsidRDefault="00A71764" w:rsidP="00A71764">
            <w:pPr>
              <w:pStyle w:val="TableParagraph"/>
            </w:pPr>
            <w:r w:rsidRPr="006D219C">
              <w:t xml:space="preserve">F 6650 CAT </w:t>
            </w:r>
            <w:r>
              <w:t>Reformer Heater</w:t>
            </w:r>
          </w:p>
        </w:tc>
        <w:tc>
          <w:tcPr>
            <w:tcW w:w="761" w:type="pct"/>
            <w:vAlign w:val="center"/>
            <w:hideMark/>
          </w:tcPr>
          <w:p w14:paraId="65F8A3CC" w14:textId="77777777" w:rsidR="00A71764" w:rsidRPr="006D219C" w:rsidRDefault="00A71764" w:rsidP="00A71764">
            <w:pPr>
              <w:pStyle w:val="TableParagraph"/>
            </w:pPr>
            <w:r w:rsidRPr="006D219C">
              <w:t xml:space="preserve">3,736 </w:t>
            </w:r>
          </w:p>
        </w:tc>
        <w:tc>
          <w:tcPr>
            <w:tcW w:w="761" w:type="pct"/>
            <w:vAlign w:val="center"/>
            <w:hideMark/>
          </w:tcPr>
          <w:p w14:paraId="0EB0AD5E" w14:textId="77777777" w:rsidR="00A71764" w:rsidRPr="006D219C" w:rsidRDefault="00A71764" w:rsidP="00A71764">
            <w:pPr>
              <w:pStyle w:val="TableParagraph"/>
            </w:pPr>
            <w:r w:rsidRPr="006D219C">
              <w:t xml:space="preserve">21,196 </w:t>
            </w:r>
          </w:p>
        </w:tc>
        <w:tc>
          <w:tcPr>
            <w:tcW w:w="761" w:type="pct"/>
            <w:vAlign w:val="center"/>
            <w:hideMark/>
          </w:tcPr>
          <w:p w14:paraId="2AF7A3F9" w14:textId="77777777" w:rsidR="00A71764" w:rsidRPr="006D219C" w:rsidRDefault="00A71764" w:rsidP="00A71764">
            <w:pPr>
              <w:pStyle w:val="TableParagraph"/>
            </w:pPr>
            <w:r w:rsidRPr="006D219C">
              <w:t xml:space="preserve">3,349 </w:t>
            </w:r>
          </w:p>
        </w:tc>
        <w:tc>
          <w:tcPr>
            <w:tcW w:w="770" w:type="pct"/>
            <w:vAlign w:val="center"/>
            <w:hideMark/>
          </w:tcPr>
          <w:p w14:paraId="795A6377" w14:textId="77777777" w:rsidR="00A71764" w:rsidRPr="006D219C" w:rsidRDefault="00A71764" w:rsidP="00A71764">
            <w:pPr>
              <w:pStyle w:val="TableParagraph"/>
            </w:pPr>
            <w:r w:rsidRPr="006D219C">
              <w:t>117</w:t>
            </w:r>
          </w:p>
        </w:tc>
      </w:tr>
      <w:tr w:rsidR="00A71764" w:rsidRPr="006D219C" w14:paraId="4A4D2DB7" w14:textId="77777777" w:rsidTr="00A71764">
        <w:trPr>
          <w:trHeight w:val="576"/>
        </w:trPr>
        <w:tc>
          <w:tcPr>
            <w:tcW w:w="703" w:type="pct"/>
            <w:vAlign w:val="center"/>
            <w:hideMark/>
          </w:tcPr>
          <w:p w14:paraId="694E0C73" w14:textId="4C4FD61C" w:rsidR="00A71764" w:rsidRPr="006D219C" w:rsidRDefault="00A71764" w:rsidP="00A71764">
            <w:pPr>
              <w:pStyle w:val="TableParagraph"/>
            </w:pPr>
            <w:r w:rsidRPr="00FA1868">
              <w:t>Tesoro</w:t>
            </w:r>
          </w:p>
        </w:tc>
        <w:tc>
          <w:tcPr>
            <w:tcW w:w="1244" w:type="pct"/>
            <w:vAlign w:val="center"/>
            <w:hideMark/>
          </w:tcPr>
          <w:p w14:paraId="724077D5" w14:textId="39340C13" w:rsidR="00A71764" w:rsidRPr="006D219C" w:rsidRDefault="00A71764" w:rsidP="00A71764">
            <w:pPr>
              <w:pStyle w:val="TableParagraph"/>
            </w:pPr>
            <w:r w:rsidRPr="006D219C">
              <w:t xml:space="preserve">F 6651 CAT </w:t>
            </w:r>
            <w:r>
              <w:t>Reformer Heater</w:t>
            </w:r>
          </w:p>
        </w:tc>
        <w:tc>
          <w:tcPr>
            <w:tcW w:w="761" w:type="pct"/>
            <w:vAlign w:val="center"/>
            <w:hideMark/>
          </w:tcPr>
          <w:p w14:paraId="2E422156" w14:textId="77777777" w:rsidR="00A71764" w:rsidRPr="006D219C" w:rsidRDefault="00A71764" w:rsidP="00A71764">
            <w:pPr>
              <w:pStyle w:val="TableParagraph"/>
            </w:pPr>
            <w:r w:rsidRPr="006D219C">
              <w:t xml:space="preserve">3,520 </w:t>
            </w:r>
          </w:p>
        </w:tc>
        <w:tc>
          <w:tcPr>
            <w:tcW w:w="761" w:type="pct"/>
            <w:vAlign w:val="center"/>
            <w:hideMark/>
          </w:tcPr>
          <w:p w14:paraId="3A05BCEE" w14:textId="77777777" w:rsidR="00A71764" w:rsidRPr="006D219C" w:rsidRDefault="00A71764" w:rsidP="00A71764">
            <w:pPr>
              <w:pStyle w:val="TableParagraph"/>
            </w:pPr>
            <w:r w:rsidRPr="006D219C">
              <w:t xml:space="preserve">21,196 </w:t>
            </w:r>
          </w:p>
        </w:tc>
        <w:tc>
          <w:tcPr>
            <w:tcW w:w="761" w:type="pct"/>
            <w:vAlign w:val="center"/>
            <w:hideMark/>
          </w:tcPr>
          <w:p w14:paraId="092DC464" w14:textId="77777777" w:rsidR="00A71764" w:rsidRPr="006D219C" w:rsidRDefault="00A71764" w:rsidP="00A71764">
            <w:pPr>
              <w:pStyle w:val="TableParagraph"/>
            </w:pPr>
            <w:r w:rsidRPr="006D219C">
              <w:t xml:space="preserve">3,349 </w:t>
            </w:r>
          </w:p>
        </w:tc>
        <w:tc>
          <w:tcPr>
            <w:tcW w:w="770" w:type="pct"/>
            <w:vAlign w:val="center"/>
            <w:hideMark/>
          </w:tcPr>
          <w:p w14:paraId="3BD3E035" w14:textId="77777777" w:rsidR="00A71764" w:rsidRPr="006D219C" w:rsidRDefault="00A71764" w:rsidP="00A71764">
            <w:pPr>
              <w:pStyle w:val="TableParagraph"/>
            </w:pPr>
            <w:r w:rsidRPr="006D219C">
              <w:t>124.2</w:t>
            </w:r>
          </w:p>
        </w:tc>
      </w:tr>
      <w:tr w:rsidR="00A71764" w:rsidRPr="006D219C" w14:paraId="69B8A28D" w14:textId="77777777" w:rsidTr="00A71764">
        <w:trPr>
          <w:trHeight w:val="576"/>
        </w:trPr>
        <w:tc>
          <w:tcPr>
            <w:tcW w:w="703" w:type="pct"/>
            <w:vAlign w:val="center"/>
            <w:hideMark/>
          </w:tcPr>
          <w:p w14:paraId="0DDFA4DE" w14:textId="7C019A49" w:rsidR="00A71764" w:rsidRPr="006D219C" w:rsidRDefault="00A71764" w:rsidP="00A71764">
            <w:pPr>
              <w:pStyle w:val="TableParagraph"/>
            </w:pPr>
            <w:r w:rsidRPr="00FA1868">
              <w:t>Tesoro</w:t>
            </w:r>
          </w:p>
        </w:tc>
        <w:tc>
          <w:tcPr>
            <w:tcW w:w="1244" w:type="pct"/>
            <w:vAlign w:val="center"/>
            <w:hideMark/>
          </w:tcPr>
          <w:p w14:paraId="57C494E4" w14:textId="67DDBD8D" w:rsidR="00A71764" w:rsidRPr="006D219C" w:rsidRDefault="00A71764" w:rsidP="00A71764">
            <w:pPr>
              <w:pStyle w:val="TableParagraph"/>
            </w:pPr>
            <w:r w:rsidRPr="006D219C">
              <w:t xml:space="preserve">F 751 </w:t>
            </w:r>
            <w:r>
              <w:t>Main Boiler</w:t>
            </w:r>
          </w:p>
        </w:tc>
        <w:tc>
          <w:tcPr>
            <w:tcW w:w="761" w:type="pct"/>
            <w:vAlign w:val="center"/>
            <w:hideMark/>
          </w:tcPr>
          <w:p w14:paraId="2B90CA2B" w14:textId="77777777" w:rsidR="00A71764" w:rsidRPr="006D219C" w:rsidRDefault="00A71764" w:rsidP="00A71764">
            <w:pPr>
              <w:pStyle w:val="TableParagraph"/>
            </w:pPr>
            <w:r w:rsidRPr="006D219C">
              <w:t xml:space="preserve">2,159 </w:t>
            </w:r>
          </w:p>
        </w:tc>
        <w:tc>
          <w:tcPr>
            <w:tcW w:w="761" w:type="pct"/>
            <w:vAlign w:val="center"/>
            <w:hideMark/>
          </w:tcPr>
          <w:p w14:paraId="6CA89734" w14:textId="77777777" w:rsidR="00A71764" w:rsidRPr="006D219C" w:rsidRDefault="00A71764" w:rsidP="00A71764">
            <w:pPr>
              <w:pStyle w:val="TableParagraph"/>
            </w:pPr>
            <w:r w:rsidRPr="006D219C">
              <w:t xml:space="preserve">10,060 </w:t>
            </w:r>
          </w:p>
        </w:tc>
        <w:tc>
          <w:tcPr>
            <w:tcW w:w="761" w:type="pct"/>
            <w:vAlign w:val="center"/>
            <w:hideMark/>
          </w:tcPr>
          <w:p w14:paraId="1ABD9FF4" w14:textId="77777777" w:rsidR="00A71764" w:rsidRPr="006D219C" w:rsidRDefault="00A71764" w:rsidP="00A71764">
            <w:pPr>
              <w:pStyle w:val="TableParagraph"/>
            </w:pPr>
            <w:r w:rsidRPr="006D219C">
              <w:t>--- </w:t>
            </w:r>
          </w:p>
        </w:tc>
        <w:tc>
          <w:tcPr>
            <w:tcW w:w="770" w:type="pct"/>
            <w:vAlign w:val="center"/>
            <w:hideMark/>
          </w:tcPr>
          <w:p w14:paraId="77AE0311" w14:textId="77777777" w:rsidR="00A71764" w:rsidRPr="006D219C" w:rsidRDefault="00A71764" w:rsidP="00A71764">
            <w:pPr>
              <w:pStyle w:val="TableParagraph"/>
            </w:pPr>
            <w:r w:rsidRPr="006D219C">
              <w:t>202.5</w:t>
            </w:r>
          </w:p>
        </w:tc>
      </w:tr>
      <w:tr w:rsidR="00A71764" w:rsidRPr="006D219C" w14:paraId="0D95C3F3" w14:textId="77777777" w:rsidTr="00A71764">
        <w:trPr>
          <w:trHeight w:val="576"/>
        </w:trPr>
        <w:tc>
          <w:tcPr>
            <w:tcW w:w="703" w:type="pct"/>
            <w:vAlign w:val="center"/>
            <w:hideMark/>
          </w:tcPr>
          <w:p w14:paraId="6B40F355" w14:textId="73A23730" w:rsidR="00A71764" w:rsidRPr="006D219C" w:rsidRDefault="00A71764" w:rsidP="00A71764">
            <w:pPr>
              <w:pStyle w:val="TableParagraph"/>
            </w:pPr>
            <w:r w:rsidRPr="00FA1868">
              <w:t>Tesoro</w:t>
            </w:r>
          </w:p>
        </w:tc>
        <w:tc>
          <w:tcPr>
            <w:tcW w:w="1244" w:type="pct"/>
            <w:vAlign w:val="center"/>
            <w:hideMark/>
          </w:tcPr>
          <w:p w14:paraId="35C3E43D" w14:textId="2C3D7D5A" w:rsidR="00A71764" w:rsidRPr="006D219C" w:rsidRDefault="00A71764" w:rsidP="00A71764">
            <w:pPr>
              <w:pStyle w:val="TableParagraph"/>
            </w:pPr>
            <w:r w:rsidRPr="006D219C">
              <w:t xml:space="preserve">F 752 </w:t>
            </w:r>
            <w:r>
              <w:t>Main Boiler</w:t>
            </w:r>
          </w:p>
        </w:tc>
        <w:tc>
          <w:tcPr>
            <w:tcW w:w="761" w:type="pct"/>
            <w:vAlign w:val="center"/>
            <w:hideMark/>
          </w:tcPr>
          <w:p w14:paraId="3717C26A" w14:textId="77777777" w:rsidR="00A71764" w:rsidRPr="006D219C" w:rsidRDefault="00A71764" w:rsidP="00A71764">
            <w:pPr>
              <w:pStyle w:val="TableParagraph"/>
            </w:pPr>
            <w:r w:rsidRPr="006D219C">
              <w:t xml:space="preserve">2,570 </w:t>
            </w:r>
          </w:p>
        </w:tc>
        <w:tc>
          <w:tcPr>
            <w:tcW w:w="761" w:type="pct"/>
            <w:vAlign w:val="center"/>
            <w:hideMark/>
          </w:tcPr>
          <w:p w14:paraId="258A3693" w14:textId="77777777" w:rsidR="00A71764" w:rsidRPr="006D219C" w:rsidRDefault="00A71764" w:rsidP="00A71764">
            <w:pPr>
              <w:pStyle w:val="TableParagraph"/>
            </w:pPr>
            <w:r w:rsidRPr="006D219C">
              <w:t>10,513</w:t>
            </w:r>
          </w:p>
        </w:tc>
        <w:tc>
          <w:tcPr>
            <w:tcW w:w="761" w:type="pct"/>
            <w:vAlign w:val="center"/>
            <w:hideMark/>
          </w:tcPr>
          <w:p w14:paraId="425C659E" w14:textId="77777777" w:rsidR="00A71764" w:rsidRPr="006D219C" w:rsidRDefault="00A71764" w:rsidP="00A71764">
            <w:pPr>
              <w:pStyle w:val="TableParagraph"/>
            </w:pPr>
            <w:r w:rsidRPr="006D219C">
              <w:t>--- </w:t>
            </w:r>
          </w:p>
        </w:tc>
        <w:tc>
          <w:tcPr>
            <w:tcW w:w="770" w:type="pct"/>
            <w:vAlign w:val="center"/>
            <w:hideMark/>
          </w:tcPr>
          <w:p w14:paraId="6DB32B6C" w14:textId="77777777" w:rsidR="00A71764" w:rsidRPr="006D219C" w:rsidRDefault="00A71764" w:rsidP="00A71764">
            <w:pPr>
              <w:pStyle w:val="TableParagraph"/>
            </w:pPr>
            <w:r w:rsidRPr="006D219C">
              <w:t>170.1</w:t>
            </w:r>
          </w:p>
        </w:tc>
      </w:tr>
    </w:tbl>
    <w:p w14:paraId="00ED49FE" w14:textId="54B4C6E8" w:rsidR="00893351" w:rsidRDefault="00543D56" w:rsidP="00FF379E">
      <w:pPr>
        <w:pStyle w:val="Paragraph"/>
      </w:pPr>
      <w:r>
        <w:t>Ecology reviewed t</w:t>
      </w:r>
      <w:r w:rsidR="00893351">
        <w:t>he following equipment</w:t>
      </w:r>
      <w:r w:rsidR="00E02730">
        <w:t xml:space="preserve"> </w:t>
      </w:r>
      <w:r w:rsidR="00893351">
        <w:t xml:space="preserve">using the EPA SCR Cost Model: </w:t>
      </w:r>
    </w:p>
    <w:p w14:paraId="2A3C514B" w14:textId="77777777" w:rsidR="00893351" w:rsidRPr="00FF379E" w:rsidRDefault="00893351" w:rsidP="0060745E">
      <w:pPr>
        <w:pStyle w:val="Heading7"/>
      </w:pPr>
      <w:bookmarkStart w:id="233" w:name="_Toc51673426"/>
      <w:r w:rsidRPr="00FF379E">
        <w:t>FCCU</w:t>
      </w:r>
      <w:bookmarkEnd w:id="233"/>
    </w:p>
    <w:p w14:paraId="6C7CA5E2" w14:textId="77777777" w:rsidR="00BB242F" w:rsidRDefault="00893351" w:rsidP="00FF379E">
      <w:pPr>
        <w:pStyle w:val="Paragraph"/>
        <w:sectPr w:rsidR="00BB242F">
          <w:pgSz w:w="12240" w:h="15840"/>
          <w:pgMar w:top="1440" w:right="1440" w:bottom="1440" w:left="1440" w:header="720" w:footer="720" w:gutter="0"/>
          <w:cols w:space="720"/>
          <w:docGrid w:linePitch="360"/>
        </w:sectPr>
      </w:pPr>
      <w:r>
        <w:t>BARR engineering supplied a table with the limited backup information.</w:t>
      </w:r>
      <w:r w:rsidR="0067717B">
        <w:t xml:space="preserve"> </w:t>
      </w:r>
      <w:r>
        <w:t>Ecology found the following discrepancies that inflated the cost for the retrofit.</w:t>
      </w:r>
    </w:p>
    <w:p w14:paraId="31597422" w14:textId="6AE42D8F" w:rsidR="0060745E" w:rsidRDefault="0060745E" w:rsidP="002F5163">
      <w:pPr>
        <w:pStyle w:val="Caption"/>
        <w:keepNext/>
        <w:spacing w:after="0"/>
      </w:pPr>
      <w:bookmarkStart w:id="234" w:name="_Toc51675392"/>
      <w:r>
        <w:lastRenderedPageBreak/>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21</w:t>
      </w:r>
      <w:r w:rsidR="00F45623">
        <w:rPr>
          <w:noProof/>
        </w:rPr>
        <w:fldChar w:fldCharType="end"/>
      </w:r>
      <w:r>
        <w:t xml:space="preserve">: </w:t>
      </w:r>
      <w:r w:rsidR="0000664C">
        <w:t>FCCU cost c</w:t>
      </w:r>
      <w:r w:rsidRPr="00242E9F">
        <w:t>omparison</w:t>
      </w:r>
      <w:bookmarkEnd w:id="234"/>
    </w:p>
    <w:tbl>
      <w:tblPr>
        <w:tblStyle w:val="TableGrid"/>
        <w:tblW w:w="5000" w:type="pct"/>
        <w:tblLook w:val="04A0" w:firstRow="1" w:lastRow="0" w:firstColumn="1" w:lastColumn="0" w:noHBand="0" w:noVBand="1"/>
      </w:tblPr>
      <w:tblGrid>
        <w:gridCol w:w="3750"/>
        <w:gridCol w:w="2457"/>
        <w:gridCol w:w="3143"/>
      </w:tblGrid>
      <w:tr w:rsidR="00893351" w:rsidRPr="006B5650" w14:paraId="1CE6FFD9" w14:textId="77777777" w:rsidTr="0060745E">
        <w:trPr>
          <w:cantSplit/>
          <w:trHeight w:val="432"/>
          <w:tblHeader/>
        </w:trPr>
        <w:tc>
          <w:tcPr>
            <w:tcW w:w="2005" w:type="pct"/>
            <w:vAlign w:val="center"/>
          </w:tcPr>
          <w:p w14:paraId="32259AA7" w14:textId="77777777" w:rsidR="00893351" w:rsidRPr="009A0ED2" w:rsidRDefault="00893351" w:rsidP="0060745E">
            <w:pPr>
              <w:pStyle w:val="TableParagraph"/>
              <w:rPr>
                <w:b/>
              </w:rPr>
            </w:pPr>
          </w:p>
        </w:tc>
        <w:tc>
          <w:tcPr>
            <w:tcW w:w="1314" w:type="pct"/>
            <w:vAlign w:val="center"/>
          </w:tcPr>
          <w:p w14:paraId="67AAC9AA" w14:textId="77777777" w:rsidR="00893351" w:rsidRPr="009A0ED2" w:rsidRDefault="00893351" w:rsidP="0060745E">
            <w:pPr>
              <w:pStyle w:val="TableParagraph"/>
              <w:rPr>
                <w:b/>
              </w:rPr>
            </w:pPr>
            <w:r w:rsidRPr="009A0ED2">
              <w:rPr>
                <w:b/>
              </w:rPr>
              <w:t>BARR</w:t>
            </w:r>
          </w:p>
        </w:tc>
        <w:tc>
          <w:tcPr>
            <w:tcW w:w="1681" w:type="pct"/>
            <w:vAlign w:val="center"/>
          </w:tcPr>
          <w:p w14:paraId="1E076629" w14:textId="493A2DA6" w:rsidR="00893351" w:rsidRPr="009A0ED2" w:rsidRDefault="00893351" w:rsidP="0060745E">
            <w:pPr>
              <w:pStyle w:val="TableParagraph"/>
              <w:rPr>
                <w:b/>
              </w:rPr>
            </w:pPr>
            <w:r w:rsidRPr="009A0ED2">
              <w:rPr>
                <w:b/>
              </w:rPr>
              <w:t xml:space="preserve">Ecology </w:t>
            </w:r>
            <w:r w:rsidRPr="009A0ED2">
              <w:rPr>
                <w:b/>
              </w:rPr>
              <w:br/>
              <w:t xml:space="preserve">EPA </w:t>
            </w:r>
            <w:r w:rsidR="00E35B04" w:rsidRPr="009A0ED2">
              <w:rPr>
                <w:b/>
              </w:rPr>
              <w:t>Control Cost Manual</w:t>
            </w:r>
          </w:p>
        </w:tc>
      </w:tr>
      <w:tr w:rsidR="00893351" w:rsidRPr="006B5650" w14:paraId="5084A4B7" w14:textId="77777777" w:rsidTr="0060745E">
        <w:trPr>
          <w:trHeight w:val="432"/>
        </w:trPr>
        <w:tc>
          <w:tcPr>
            <w:tcW w:w="2005" w:type="pct"/>
            <w:vAlign w:val="center"/>
          </w:tcPr>
          <w:p w14:paraId="64F1F036" w14:textId="77777777" w:rsidR="00893351" w:rsidRPr="009A0ED2" w:rsidRDefault="00893351" w:rsidP="0060745E">
            <w:pPr>
              <w:pStyle w:val="TableParagraph"/>
            </w:pPr>
            <w:r w:rsidRPr="009A0ED2">
              <w:t>Capital cost $</w:t>
            </w:r>
          </w:p>
        </w:tc>
        <w:tc>
          <w:tcPr>
            <w:tcW w:w="1314" w:type="pct"/>
            <w:vAlign w:val="center"/>
          </w:tcPr>
          <w:p w14:paraId="3099334A" w14:textId="77777777" w:rsidR="00893351" w:rsidRPr="009A0ED2" w:rsidRDefault="00893351" w:rsidP="0060745E">
            <w:pPr>
              <w:pStyle w:val="TableParagraph"/>
            </w:pPr>
            <w:r w:rsidRPr="009A0ED2">
              <w:t>114,030,975</w:t>
            </w:r>
          </w:p>
        </w:tc>
        <w:tc>
          <w:tcPr>
            <w:tcW w:w="1681" w:type="pct"/>
            <w:vAlign w:val="center"/>
          </w:tcPr>
          <w:p w14:paraId="00517867" w14:textId="77777777" w:rsidR="00893351" w:rsidRPr="009A0ED2" w:rsidRDefault="00893351" w:rsidP="0060745E">
            <w:pPr>
              <w:pStyle w:val="TableParagraph"/>
              <w:rPr>
                <w:color w:val="000000"/>
              </w:rPr>
            </w:pPr>
            <w:r w:rsidRPr="009A0ED2">
              <w:rPr>
                <w:color w:val="000000"/>
              </w:rPr>
              <w:t>10,286,436</w:t>
            </w:r>
          </w:p>
        </w:tc>
      </w:tr>
      <w:tr w:rsidR="00893351" w:rsidRPr="006B5650" w14:paraId="15D96C71" w14:textId="77777777" w:rsidTr="0060745E">
        <w:trPr>
          <w:trHeight w:val="432"/>
        </w:trPr>
        <w:tc>
          <w:tcPr>
            <w:tcW w:w="2005" w:type="pct"/>
            <w:vAlign w:val="center"/>
          </w:tcPr>
          <w:p w14:paraId="0BAFDB26" w14:textId="77777777" w:rsidR="00893351" w:rsidRPr="009A0ED2" w:rsidRDefault="00893351" w:rsidP="0060745E">
            <w:pPr>
              <w:pStyle w:val="TableParagraph"/>
            </w:pPr>
            <w:r w:rsidRPr="009A0ED2">
              <w:t>Maintenance $/yr</w:t>
            </w:r>
          </w:p>
        </w:tc>
        <w:tc>
          <w:tcPr>
            <w:tcW w:w="1314" w:type="pct"/>
            <w:vAlign w:val="center"/>
          </w:tcPr>
          <w:p w14:paraId="7476FA6C" w14:textId="77777777" w:rsidR="00893351" w:rsidRPr="009A0ED2" w:rsidRDefault="00893351" w:rsidP="0060745E">
            <w:pPr>
              <w:pStyle w:val="TableParagraph"/>
            </w:pPr>
            <w:r w:rsidRPr="009A0ED2">
              <w:t>570,155</w:t>
            </w:r>
          </w:p>
        </w:tc>
        <w:tc>
          <w:tcPr>
            <w:tcW w:w="1681" w:type="pct"/>
            <w:vAlign w:val="center"/>
          </w:tcPr>
          <w:p w14:paraId="1371F53A" w14:textId="77777777" w:rsidR="00893351" w:rsidRPr="009A0ED2" w:rsidRDefault="00893351" w:rsidP="0060745E">
            <w:pPr>
              <w:pStyle w:val="TableParagraph"/>
              <w:rPr>
                <w:color w:val="000000"/>
              </w:rPr>
            </w:pPr>
            <w:r w:rsidRPr="009A0ED2">
              <w:rPr>
                <w:color w:val="000000"/>
              </w:rPr>
              <w:t>51,432</w:t>
            </w:r>
          </w:p>
        </w:tc>
      </w:tr>
      <w:tr w:rsidR="00893351" w:rsidRPr="006B5650" w14:paraId="67F8EFF1" w14:textId="77777777" w:rsidTr="0060745E">
        <w:trPr>
          <w:trHeight w:val="432"/>
        </w:trPr>
        <w:tc>
          <w:tcPr>
            <w:tcW w:w="2005" w:type="pct"/>
            <w:vAlign w:val="center"/>
          </w:tcPr>
          <w:p w14:paraId="5121F1A2" w14:textId="77777777" w:rsidR="00893351" w:rsidRPr="009A0ED2" w:rsidRDefault="00893351" w:rsidP="0060745E">
            <w:pPr>
              <w:pStyle w:val="TableParagraph"/>
            </w:pPr>
            <w:r w:rsidRPr="009A0ED2">
              <w:t>Reagent $/yr</w:t>
            </w:r>
          </w:p>
        </w:tc>
        <w:tc>
          <w:tcPr>
            <w:tcW w:w="1314" w:type="pct"/>
            <w:vAlign w:val="center"/>
          </w:tcPr>
          <w:p w14:paraId="1E3FB1BD" w14:textId="77777777" w:rsidR="00893351" w:rsidRPr="009A0ED2" w:rsidRDefault="00893351" w:rsidP="0060745E">
            <w:pPr>
              <w:pStyle w:val="TableParagraph"/>
            </w:pPr>
            <w:r w:rsidRPr="009A0ED2">
              <w:t>1,340,590</w:t>
            </w:r>
          </w:p>
        </w:tc>
        <w:tc>
          <w:tcPr>
            <w:tcW w:w="1681" w:type="pct"/>
            <w:vAlign w:val="center"/>
          </w:tcPr>
          <w:p w14:paraId="0C9269FE" w14:textId="77777777" w:rsidR="00893351" w:rsidRPr="009A0ED2" w:rsidRDefault="00893351" w:rsidP="0060745E">
            <w:pPr>
              <w:pStyle w:val="TableParagraph"/>
              <w:rPr>
                <w:color w:val="000000"/>
              </w:rPr>
            </w:pPr>
            <w:r w:rsidRPr="009A0ED2">
              <w:rPr>
                <w:color w:val="000000"/>
              </w:rPr>
              <w:t>59,974</w:t>
            </w:r>
          </w:p>
        </w:tc>
      </w:tr>
      <w:tr w:rsidR="00893351" w:rsidRPr="006B5650" w14:paraId="1C8056E0" w14:textId="77777777" w:rsidTr="0060745E">
        <w:trPr>
          <w:trHeight w:val="432"/>
        </w:trPr>
        <w:tc>
          <w:tcPr>
            <w:tcW w:w="2005" w:type="pct"/>
            <w:vAlign w:val="center"/>
          </w:tcPr>
          <w:p w14:paraId="5419D301" w14:textId="77777777" w:rsidR="00893351" w:rsidRPr="009A0ED2" w:rsidRDefault="00893351" w:rsidP="0060745E">
            <w:pPr>
              <w:pStyle w:val="TableParagraph"/>
            </w:pPr>
            <w:r w:rsidRPr="009A0ED2">
              <w:t>Catalyst $/yr</w:t>
            </w:r>
          </w:p>
        </w:tc>
        <w:tc>
          <w:tcPr>
            <w:tcW w:w="1314" w:type="pct"/>
            <w:vAlign w:val="center"/>
          </w:tcPr>
          <w:p w14:paraId="7DC0C120" w14:textId="77777777" w:rsidR="00893351" w:rsidRPr="009A0ED2" w:rsidRDefault="00893351" w:rsidP="0060745E">
            <w:pPr>
              <w:pStyle w:val="TableParagraph"/>
            </w:pPr>
            <w:r w:rsidRPr="009A0ED2">
              <w:t>116,845</w:t>
            </w:r>
          </w:p>
        </w:tc>
        <w:tc>
          <w:tcPr>
            <w:tcW w:w="1681" w:type="pct"/>
            <w:vAlign w:val="center"/>
          </w:tcPr>
          <w:p w14:paraId="66BDDAD0" w14:textId="77777777" w:rsidR="00893351" w:rsidRPr="009A0ED2" w:rsidRDefault="00893351" w:rsidP="0060745E">
            <w:pPr>
              <w:pStyle w:val="TableParagraph"/>
              <w:rPr>
                <w:color w:val="000000"/>
              </w:rPr>
            </w:pPr>
            <w:r w:rsidRPr="009A0ED2">
              <w:rPr>
                <w:color w:val="000000"/>
              </w:rPr>
              <w:t>34,754</w:t>
            </w:r>
          </w:p>
        </w:tc>
      </w:tr>
      <w:tr w:rsidR="00893351" w:rsidRPr="006B5650" w14:paraId="238D68C5" w14:textId="77777777" w:rsidTr="0060745E">
        <w:trPr>
          <w:trHeight w:val="432"/>
        </w:trPr>
        <w:tc>
          <w:tcPr>
            <w:tcW w:w="2005" w:type="pct"/>
            <w:vAlign w:val="center"/>
          </w:tcPr>
          <w:p w14:paraId="029185C7" w14:textId="77777777" w:rsidR="00893351" w:rsidRPr="009A0ED2" w:rsidRDefault="00893351" w:rsidP="0060745E">
            <w:pPr>
              <w:pStyle w:val="TableParagraph"/>
            </w:pPr>
            <w:r w:rsidRPr="009A0ED2">
              <w:t>Annualized cost $/yr</w:t>
            </w:r>
          </w:p>
        </w:tc>
        <w:tc>
          <w:tcPr>
            <w:tcW w:w="1314" w:type="pct"/>
            <w:vAlign w:val="center"/>
          </w:tcPr>
          <w:p w14:paraId="23C5D1D3" w14:textId="77777777" w:rsidR="00893351" w:rsidRPr="009A0ED2" w:rsidRDefault="00893351" w:rsidP="0060745E">
            <w:pPr>
              <w:pStyle w:val="TableParagraph"/>
            </w:pPr>
            <w:r w:rsidRPr="009A0ED2">
              <w:t>10,747,992</w:t>
            </w:r>
          </w:p>
        </w:tc>
        <w:tc>
          <w:tcPr>
            <w:tcW w:w="1681" w:type="pct"/>
            <w:vAlign w:val="center"/>
          </w:tcPr>
          <w:p w14:paraId="770F5DC6" w14:textId="77777777" w:rsidR="00893351" w:rsidRPr="009A0ED2" w:rsidRDefault="00893351" w:rsidP="0060745E">
            <w:pPr>
              <w:pStyle w:val="TableParagraph"/>
            </w:pPr>
            <w:r w:rsidRPr="009A0ED2">
              <w:rPr>
                <w:color w:val="000000"/>
              </w:rPr>
              <w:t>977,202</w:t>
            </w:r>
          </w:p>
        </w:tc>
      </w:tr>
      <w:tr w:rsidR="00893351" w:rsidRPr="006B5650" w14:paraId="371F84FB" w14:textId="77777777" w:rsidTr="0060745E">
        <w:trPr>
          <w:trHeight w:val="432"/>
        </w:trPr>
        <w:tc>
          <w:tcPr>
            <w:tcW w:w="2005" w:type="pct"/>
            <w:vAlign w:val="center"/>
          </w:tcPr>
          <w:p w14:paraId="02F92084" w14:textId="7C7C386E" w:rsidR="00893351" w:rsidRPr="009A0ED2" w:rsidRDefault="00893351" w:rsidP="0060745E">
            <w:pPr>
              <w:pStyle w:val="TableParagraph"/>
            </w:pPr>
            <w:r w:rsidRPr="009A0ED2">
              <w:t xml:space="preserve">$/ton </w:t>
            </w:r>
            <w:r w:rsidR="000C2EB3" w:rsidRPr="009A0ED2">
              <w:t>NO</w:t>
            </w:r>
            <w:r w:rsidR="000C2EB3" w:rsidRPr="009A0ED2">
              <w:rPr>
                <w:vertAlign w:val="subscript"/>
              </w:rPr>
              <w:t>X</w:t>
            </w:r>
            <w:r w:rsidRPr="009A0ED2">
              <w:t xml:space="preserve"> reduced</w:t>
            </w:r>
          </w:p>
        </w:tc>
        <w:tc>
          <w:tcPr>
            <w:tcW w:w="1314" w:type="pct"/>
            <w:vAlign w:val="center"/>
          </w:tcPr>
          <w:p w14:paraId="2A611E5A" w14:textId="77777777" w:rsidR="00893351" w:rsidRPr="009A0ED2" w:rsidRDefault="00893351" w:rsidP="0060745E">
            <w:pPr>
              <w:pStyle w:val="TableParagraph"/>
            </w:pPr>
            <w:r w:rsidRPr="009A0ED2">
              <w:t>14,381</w:t>
            </w:r>
          </w:p>
        </w:tc>
        <w:tc>
          <w:tcPr>
            <w:tcW w:w="1681" w:type="pct"/>
            <w:vAlign w:val="center"/>
          </w:tcPr>
          <w:p w14:paraId="6AD63797" w14:textId="77777777" w:rsidR="00893351" w:rsidRPr="009A0ED2" w:rsidRDefault="00893351" w:rsidP="0060745E">
            <w:pPr>
              <w:pStyle w:val="TableParagraph"/>
            </w:pPr>
            <w:r w:rsidRPr="009A0ED2">
              <w:rPr>
                <w:color w:val="000000"/>
              </w:rPr>
              <w:t>1,159</w:t>
            </w:r>
          </w:p>
        </w:tc>
      </w:tr>
    </w:tbl>
    <w:p w14:paraId="4F3D6507" w14:textId="195A00CF" w:rsidR="00893351" w:rsidRPr="006B5650" w:rsidRDefault="00893351" w:rsidP="00C369B8">
      <w:pPr>
        <w:pStyle w:val="Paragraph"/>
      </w:pPr>
      <w:r w:rsidRPr="006B5650">
        <w:t xml:space="preserve">Ecology used the EPA </w:t>
      </w:r>
      <w:r w:rsidR="00E35B04">
        <w:t>Control Cost Manual</w:t>
      </w:r>
      <w:r w:rsidRPr="006B5650">
        <w:t xml:space="preserve"> cost with 90</w:t>
      </w:r>
      <w:r w:rsidR="00B07D39">
        <w:t>%</w:t>
      </w:r>
      <w:r w:rsidR="00B07D39" w:rsidRPr="006B5650">
        <w:t xml:space="preserve"> </w:t>
      </w:r>
      <w:r w:rsidRPr="006B5650">
        <w:t>controls.</w:t>
      </w:r>
      <w:r w:rsidR="0067717B">
        <w:t xml:space="preserve"> </w:t>
      </w:r>
      <w:r w:rsidRPr="006B5650">
        <w:t>BARR did not supply the cost data they used to scale their cost data.</w:t>
      </w:r>
      <w:r w:rsidR="0067717B">
        <w:t xml:space="preserve"> </w:t>
      </w:r>
      <w:r w:rsidRPr="006B5650">
        <w:t>The BART data is based on SNCR controls at about 60</w:t>
      </w:r>
      <w:r w:rsidR="00B07D39">
        <w:t>%</w:t>
      </w:r>
      <w:r w:rsidR="00B07D39" w:rsidRPr="006B5650">
        <w:t xml:space="preserve"> </w:t>
      </w:r>
      <w:r w:rsidRPr="006B5650">
        <w:t>controls</w:t>
      </w:r>
      <w:r>
        <w:t>,</w:t>
      </w:r>
      <w:r w:rsidRPr="006B5650">
        <w:t xml:space="preserve"> which account for the higher $/ton cost.</w:t>
      </w:r>
    </w:p>
    <w:p w14:paraId="5415F27F" w14:textId="77777777" w:rsidR="00893351" w:rsidRPr="00C5621E" w:rsidRDefault="00893351" w:rsidP="002F5163">
      <w:pPr>
        <w:pStyle w:val="Heading7"/>
      </w:pPr>
      <w:bookmarkStart w:id="235" w:name="_Toc51673427"/>
      <w:r w:rsidRPr="00C5621E">
        <w:t>F 102 CRUDE HEATER</w:t>
      </w:r>
      <w:bookmarkEnd w:id="235"/>
    </w:p>
    <w:p w14:paraId="6904D68A" w14:textId="54D10AAD" w:rsidR="00893351" w:rsidRDefault="00893351" w:rsidP="00C369B8">
      <w:pPr>
        <w:pStyle w:val="Paragraph"/>
      </w:pPr>
      <w:r>
        <w:t xml:space="preserve">Both BARR and Ecology use the EPA </w:t>
      </w:r>
      <w:r w:rsidR="00E35B04">
        <w:t>Control Cost Manual</w:t>
      </w:r>
      <w:r>
        <w:t xml:space="preserve"> with highly different results:</w:t>
      </w:r>
    </w:p>
    <w:p w14:paraId="17B06A79" w14:textId="225860A6" w:rsidR="002F5163" w:rsidRDefault="002F5163" w:rsidP="002F5163">
      <w:pPr>
        <w:pStyle w:val="Caption"/>
        <w:keepNext/>
        <w:spacing w:after="0"/>
      </w:pPr>
      <w:bookmarkStart w:id="236" w:name="_Toc51675393"/>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22</w:t>
      </w:r>
      <w:r w:rsidR="00F45623">
        <w:rPr>
          <w:noProof/>
        </w:rPr>
        <w:fldChar w:fldCharType="end"/>
      </w:r>
      <w:r>
        <w:t xml:space="preserve">: </w:t>
      </w:r>
      <w:r w:rsidRPr="00AF45DB">
        <w:t xml:space="preserve">Crude </w:t>
      </w:r>
      <w:r w:rsidR="0000664C">
        <w:t>heater cost c</w:t>
      </w:r>
      <w:r w:rsidRPr="00AF45DB">
        <w:t>omparison</w:t>
      </w:r>
      <w:bookmarkEnd w:id="236"/>
    </w:p>
    <w:tbl>
      <w:tblPr>
        <w:tblStyle w:val="TableGrid"/>
        <w:tblW w:w="5000" w:type="pct"/>
        <w:tblLook w:val="04A0" w:firstRow="1" w:lastRow="0" w:firstColumn="1" w:lastColumn="0" w:noHBand="0" w:noVBand="1"/>
      </w:tblPr>
      <w:tblGrid>
        <w:gridCol w:w="3494"/>
        <w:gridCol w:w="2928"/>
        <w:gridCol w:w="2928"/>
      </w:tblGrid>
      <w:tr w:rsidR="00893351" w:rsidRPr="006B5650" w14:paraId="77641109" w14:textId="77777777" w:rsidTr="002F5163">
        <w:trPr>
          <w:cantSplit/>
          <w:trHeight w:val="432"/>
          <w:tblHeader/>
        </w:trPr>
        <w:tc>
          <w:tcPr>
            <w:tcW w:w="1868" w:type="pct"/>
            <w:vAlign w:val="center"/>
          </w:tcPr>
          <w:p w14:paraId="237E98C0" w14:textId="77777777" w:rsidR="00893351" w:rsidRPr="002F5163" w:rsidRDefault="00893351" w:rsidP="002F5163">
            <w:pPr>
              <w:pStyle w:val="TableParagraph"/>
              <w:rPr>
                <w:b/>
              </w:rPr>
            </w:pPr>
          </w:p>
        </w:tc>
        <w:tc>
          <w:tcPr>
            <w:tcW w:w="1566" w:type="pct"/>
            <w:vAlign w:val="center"/>
          </w:tcPr>
          <w:p w14:paraId="4AB6B439" w14:textId="1F6E33B8" w:rsidR="00893351" w:rsidRPr="002F5163" w:rsidRDefault="00893351" w:rsidP="002F5163">
            <w:pPr>
              <w:pStyle w:val="TableParagraph"/>
              <w:rPr>
                <w:b/>
              </w:rPr>
            </w:pPr>
            <w:r w:rsidRPr="002F5163">
              <w:rPr>
                <w:b/>
              </w:rPr>
              <w:t>BARR</w:t>
            </w:r>
            <w:r w:rsidRPr="002F5163">
              <w:rPr>
                <w:b/>
              </w:rPr>
              <w:br/>
              <w:t xml:space="preserve">EPA </w:t>
            </w:r>
            <w:r w:rsidR="00E35B04">
              <w:rPr>
                <w:b/>
              </w:rPr>
              <w:t>Control Cost Manual</w:t>
            </w:r>
          </w:p>
        </w:tc>
        <w:tc>
          <w:tcPr>
            <w:tcW w:w="1566" w:type="pct"/>
            <w:vAlign w:val="center"/>
          </w:tcPr>
          <w:p w14:paraId="5E2CCA91" w14:textId="0C427253" w:rsidR="00893351" w:rsidRPr="002F5163" w:rsidRDefault="00893351" w:rsidP="002F5163">
            <w:pPr>
              <w:pStyle w:val="TableParagraph"/>
              <w:rPr>
                <w:b/>
              </w:rPr>
            </w:pPr>
            <w:r w:rsidRPr="002F5163">
              <w:rPr>
                <w:b/>
              </w:rPr>
              <w:t xml:space="preserve">Ecology </w:t>
            </w:r>
            <w:r w:rsidRPr="002F5163">
              <w:rPr>
                <w:b/>
              </w:rPr>
              <w:br/>
              <w:t xml:space="preserve">EPA </w:t>
            </w:r>
            <w:r w:rsidR="00E35B04">
              <w:rPr>
                <w:b/>
              </w:rPr>
              <w:t>Control Cost Manual</w:t>
            </w:r>
          </w:p>
        </w:tc>
      </w:tr>
      <w:tr w:rsidR="00893351" w:rsidRPr="006B5650" w14:paraId="6E097D16" w14:textId="77777777" w:rsidTr="002F5163">
        <w:trPr>
          <w:trHeight w:val="432"/>
        </w:trPr>
        <w:tc>
          <w:tcPr>
            <w:tcW w:w="1868" w:type="pct"/>
            <w:vAlign w:val="center"/>
          </w:tcPr>
          <w:p w14:paraId="54EE89D8" w14:textId="77777777" w:rsidR="00893351" w:rsidRPr="006B5650" w:rsidRDefault="00893351" w:rsidP="002F5163">
            <w:pPr>
              <w:pStyle w:val="TableParagraph"/>
            </w:pPr>
            <w:r w:rsidRPr="006B5650">
              <w:t>Ft3/min-MMBtu/hr</w:t>
            </w:r>
          </w:p>
        </w:tc>
        <w:tc>
          <w:tcPr>
            <w:tcW w:w="1566" w:type="pct"/>
            <w:vAlign w:val="center"/>
          </w:tcPr>
          <w:p w14:paraId="5E2AFBCF" w14:textId="77777777" w:rsidR="00893351" w:rsidRPr="006B5650" w:rsidRDefault="00893351" w:rsidP="002F5163">
            <w:pPr>
              <w:pStyle w:val="TableParagraph"/>
            </w:pPr>
            <w:r w:rsidRPr="006B5650">
              <w:t>55,577</w:t>
            </w:r>
          </w:p>
        </w:tc>
        <w:tc>
          <w:tcPr>
            <w:tcW w:w="1566" w:type="pct"/>
            <w:vAlign w:val="center"/>
          </w:tcPr>
          <w:p w14:paraId="320B13F5" w14:textId="77777777" w:rsidR="00893351" w:rsidRPr="006B5650" w:rsidRDefault="00893351" w:rsidP="002F5163">
            <w:pPr>
              <w:pStyle w:val="TableParagraph"/>
            </w:pPr>
            <w:r w:rsidRPr="006B5650">
              <w:t>484</w:t>
            </w:r>
          </w:p>
        </w:tc>
      </w:tr>
      <w:tr w:rsidR="00893351" w:rsidRPr="006B5650" w14:paraId="3C44D1BF" w14:textId="77777777" w:rsidTr="002F5163">
        <w:trPr>
          <w:trHeight w:val="432"/>
        </w:trPr>
        <w:tc>
          <w:tcPr>
            <w:tcW w:w="1868" w:type="pct"/>
            <w:vAlign w:val="center"/>
          </w:tcPr>
          <w:p w14:paraId="7D10A216" w14:textId="77777777" w:rsidR="00893351" w:rsidRPr="006B5650" w:rsidRDefault="00893351" w:rsidP="002F5163">
            <w:pPr>
              <w:pStyle w:val="TableParagraph"/>
            </w:pPr>
            <w:r w:rsidRPr="006B5650">
              <w:t>Ammonia $/gal</w:t>
            </w:r>
          </w:p>
        </w:tc>
        <w:tc>
          <w:tcPr>
            <w:tcW w:w="1566" w:type="pct"/>
            <w:vAlign w:val="center"/>
          </w:tcPr>
          <w:p w14:paraId="022711D1" w14:textId="77777777" w:rsidR="00893351" w:rsidRPr="006B5650" w:rsidRDefault="00893351" w:rsidP="002F5163">
            <w:pPr>
              <w:pStyle w:val="TableParagraph"/>
            </w:pPr>
            <w:r w:rsidRPr="006B5650">
              <w:t>3.513</w:t>
            </w:r>
          </w:p>
        </w:tc>
        <w:tc>
          <w:tcPr>
            <w:tcW w:w="1566" w:type="pct"/>
            <w:vAlign w:val="center"/>
          </w:tcPr>
          <w:p w14:paraId="2FE34117" w14:textId="77777777" w:rsidR="00893351" w:rsidRPr="006B5650" w:rsidRDefault="00893351" w:rsidP="002F5163">
            <w:pPr>
              <w:pStyle w:val="TableParagraph"/>
            </w:pPr>
            <w:r w:rsidRPr="006B5650">
              <w:t>0.293</w:t>
            </w:r>
          </w:p>
        </w:tc>
      </w:tr>
      <w:tr w:rsidR="00893351" w:rsidRPr="006B5650" w14:paraId="5786AA45" w14:textId="77777777" w:rsidTr="002F5163">
        <w:trPr>
          <w:trHeight w:val="432"/>
        </w:trPr>
        <w:tc>
          <w:tcPr>
            <w:tcW w:w="1868" w:type="pct"/>
            <w:vAlign w:val="center"/>
          </w:tcPr>
          <w:p w14:paraId="372F5452" w14:textId="77777777" w:rsidR="00893351" w:rsidRPr="006B5650" w:rsidRDefault="00893351" w:rsidP="002F5163">
            <w:pPr>
              <w:pStyle w:val="TableParagraph"/>
            </w:pPr>
            <w:r w:rsidRPr="006B5650">
              <w:t>acfm</w:t>
            </w:r>
          </w:p>
        </w:tc>
        <w:tc>
          <w:tcPr>
            <w:tcW w:w="1566" w:type="pct"/>
            <w:vAlign w:val="center"/>
          </w:tcPr>
          <w:p w14:paraId="2DC28FA7" w14:textId="77777777" w:rsidR="00893351" w:rsidRPr="006B5650" w:rsidRDefault="00893351" w:rsidP="002F5163">
            <w:pPr>
              <w:pStyle w:val="TableParagraph"/>
            </w:pPr>
            <w:r w:rsidRPr="006B5650">
              <w:t>6,381,721</w:t>
            </w:r>
          </w:p>
        </w:tc>
        <w:tc>
          <w:tcPr>
            <w:tcW w:w="1566" w:type="pct"/>
            <w:vAlign w:val="center"/>
          </w:tcPr>
          <w:p w14:paraId="1C0DC68C" w14:textId="77777777" w:rsidR="00893351" w:rsidRPr="00854163" w:rsidRDefault="00893351" w:rsidP="002F5163">
            <w:pPr>
              <w:pStyle w:val="TableParagraph"/>
            </w:pPr>
            <w:r>
              <w:t>115,784</w:t>
            </w:r>
          </w:p>
        </w:tc>
      </w:tr>
      <w:tr w:rsidR="00893351" w:rsidRPr="006B5650" w14:paraId="54BD058B" w14:textId="77777777" w:rsidTr="002F5163">
        <w:trPr>
          <w:trHeight w:val="432"/>
        </w:trPr>
        <w:tc>
          <w:tcPr>
            <w:tcW w:w="1868" w:type="pct"/>
            <w:vAlign w:val="center"/>
          </w:tcPr>
          <w:p w14:paraId="643F08DC" w14:textId="77777777" w:rsidR="00893351" w:rsidRPr="006B5650" w:rsidRDefault="00893351" w:rsidP="002F5163">
            <w:pPr>
              <w:pStyle w:val="TableParagraph"/>
            </w:pPr>
            <w:r w:rsidRPr="006B5650">
              <w:t>Vspace</w:t>
            </w:r>
          </w:p>
        </w:tc>
        <w:tc>
          <w:tcPr>
            <w:tcW w:w="1566" w:type="pct"/>
            <w:vAlign w:val="center"/>
          </w:tcPr>
          <w:p w14:paraId="6143BA0F" w14:textId="77777777" w:rsidR="00893351" w:rsidRPr="006B5650" w:rsidRDefault="00893351" w:rsidP="002F5163">
            <w:pPr>
              <w:pStyle w:val="TableParagraph"/>
            </w:pPr>
            <w:r w:rsidRPr="006B5650">
              <w:t>19,760.72</w:t>
            </w:r>
          </w:p>
        </w:tc>
        <w:tc>
          <w:tcPr>
            <w:tcW w:w="1566" w:type="pct"/>
            <w:vAlign w:val="center"/>
          </w:tcPr>
          <w:p w14:paraId="7E45BEFE" w14:textId="77777777" w:rsidR="00893351" w:rsidRPr="006B5650" w:rsidRDefault="00893351" w:rsidP="002F5163">
            <w:pPr>
              <w:pStyle w:val="TableParagraph"/>
            </w:pPr>
            <w:r w:rsidRPr="006B5650">
              <w:t>112</w:t>
            </w:r>
          </w:p>
        </w:tc>
      </w:tr>
      <w:tr w:rsidR="00893351" w:rsidRPr="006B5650" w14:paraId="084CED1D" w14:textId="77777777" w:rsidTr="002F5163">
        <w:trPr>
          <w:trHeight w:val="432"/>
        </w:trPr>
        <w:tc>
          <w:tcPr>
            <w:tcW w:w="1868" w:type="pct"/>
            <w:vAlign w:val="center"/>
          </w:tcPr>
          <w:p w14:paraId="728A754B" w14:textId="77777777" w:rsidR="00893351" w:rsidRPr="006B5650" w:rsidRDefault="00893351" w:rsidP="002F5163">
            <w:pPr>
              <w:pStyle w:val="TableParagraph"/>
            </w:pPr>
            <w:r w:rsidRPr="006B5650">
              <w:t>Catalyst Ft2</w:t>
            </w:r>
          </w:p>
        </w:tc>
        <w:tc>
          <w:tcPr>
            <w:tcW w:w="1566" w:type="pct"/>
            <w:vAlign w:val="center"/>
          </w:tcPr>
          <w:p w14:paraId="44C2A93E" w14:textId="77777777" w:rsidR="00893351" w:rsidRPr="006B5650" w:rsidRDefault="00893351" w:rsidP="002F5163">
            <w:pPr>
              <w:pStyle w:val="TableParagraph"/>
            </w:pPr>
            <w:r w:rsidRPr="006B5650">
              <w:t>6,648</w:t>
            </w:r>
          </w:p>
        </w:tc>
        <w:tc>
          <w:tcPr>
            <w:tcW w:w="1566" w:type="pct"/>
            <w:vAlign w:val="center"/>
          </w:tcPr>
          <w:p w14:paraId="7AE3980C" w14:textId="77777777" w:rsidR="00893351" w:rsidRPr="006B5650" w:rsidRDefault="00893351" w:rsidP="002F5163">
            <w:pPr>
              <w:pStyle w:val="TableParagraph"/>
            </w:pPr>
            <w:r>
              <w:t>121</w:t>
            </w:r>
          </w:p>
        </w:tc>
      </w:tr>
      <w:tr w:rsidR="00893351" w:rsidRPr="006B5650" w14:paraId="29FC462C" w14:textId="77777777" w:rsidTr="002F5163">
        <w:trPr>
          <w:trHeight w:val="432"/>
        </w:trPr>
        <w:tc>
          <w:tcPr>
            <w:tcW w:w="1868" w:type="pct"/>
            <w:vAlign w:val="center"/>
          </w:tcPr>
          <w:p w14:paraId="0A31229E" w14:textId="77777777" w:rsidR="00893351" w:rsidRPr="006B5650" w:rsidRDefault="00893351" w:rsidP="002F5163">
            <w:pPr>
              <w:pStyle w:val="TableParagraph"/>
            </w:pPr>
            <w:r w:rsidRPr="006B5650">
              <w:t>Capital cost $</w:t>
            </w:r>
          </w:p>
        </w:tc>
        <w:tc>
          <w:tcPr>
            <w:tcW w:w="1566" w:type="pct"/>
            <w:vAlign w:val="center"/>
          </w:tcPr>
          <w:p w14:paraId="1A09B9E7" w14:textId="77777777" w:rsidR="00893351" w:rsidRPr="006B5650" w:rsidRDefault="00893351" w:rsidP="002F5163">
            <w:pPr>
              <w:pStyle w:val="TableParagraph"/>
            </w:pPr>
            <w:r w:rsidRPr="006B5650">
              <w:t>20,876,000</w:t>
            </w:r>
          </w:p>
        </w:tc>
        <w:tc>
          <w:tcPr>
            <w:tcW w:w="1566" w:type="pct"/>
            <w:vAlign w:val="center"/>
          </w:tcPr>
          <w:p w14:paraId="022D96BB" w14:textId="77777777" w:rsidR="00893351" w:rsidRPr="00854163" w:rsidRDefault="00893351" w:rsidP="002F5163">
            <w:pPr>
              <w:pStyle w:val="TableParagraph"/>
            </w:pPr>
            <w:r>
              <w:t>5,084,927</w:t>
            </w:r>
          </w:p>
        </w:tc>
      </w:tr>
      <w:tr w:rsidR="00893351" w:rsidRPr="006B5650" w14:paraId="335F828C" w14:textId="77777777" w:rsidTr="002F5163">
        <w:trPr>
          <w:trHeight w:val="432"/>
        </w:trPr>
        <w:tc>
          <w:tcPr>
            <w:tcW w:w="1868" w:type="pct"/>
            <w:vAlign w:val="center"/>
          </w:tcPr>
          <w:p w14:paraId="4E1CCF57" w14:textId="77777777" w:rsidR="00893351" w:rsidRPr="006B5650" w:rsidRDefault="00893351" w:rsidP="002F5163">
            <w:pPr>
              <w:pStyle w:val="TableParagraph"/>
            </w:pPr>
            <w:r w:rsidRPr="006B5650">
              <w:t>Maintenance $/yr</w:t>
            </w:r>
          </w:p>
        </w:tc>
        <w:tc>
          <w:tcPr>
            <w:tcW w:w="1566" w:type="pct"/>
            <w:vAlign w:val="center"/>
          </w:tcPr>
          <w:p w14:paraId="424B26C7" w14:textId="77777777" w:rsidR="00893351" w:rsidRPr="006B5650" w:rsidRDefault="00893351" w:rsidP="002F5163">
            <w:pPr>
              <w:pStyle w:val="TableParagraph"/>
            </w:pPr>
            <w:r w:rsidRPr="006B5650">
              <w:t>104,380</w:t>
            </w:r>
          </w:p>
        </w:tc>
        <w:tc>
          <w:tcPr>
            <w:tcW w:w="1566" w:type="pct"/>
            <w:vAlign w:val="center"/>
          </w:tcPr>
          <w:p w14:paraId="581B88E4" w14:textId="77777777" w:rsidR="00893351" w:rsidRPr="00854163" w:rsidRDefault="00893351" w:rsidP="002F5163">
            <w:pPr>
              <w:pStyle w:val="TableParagraph"/>
            </w:pPr>
            <w:r>
              <w:t>25,425</w:t>
            </w:r>
          </w:p>
        </w:tc>
      </w:tr>
      <w:tr w:rsidR="00893351" w:rsidRPr="006B5650" w14:paraId="784D5AEB" w14:textId="77777777" w:rsidTr="002F5163">
        <w:trPr>
          <w:trHeight w:val="432"/>
        </w:trPr>
        <w:tc>
          <w:tcPr>
            <w:tcW w:w="1868" w:type="pct"/>
            <w:vAlign w:val="center"/>
          </w:tcPr>
          <w:p w14:paraId="72200807" w14:textId="77777777" w:rsidR="00893351" w:rsidRPr="006B5650" w:rsidRDefault="00893351" w:rsidP="002F5163">
            <w:pPr>
              <w:pStyle w:val="TableParagraph"/>
            </w:pPr>
            <w:r w:rsidRPr="006B5650">
              <w:t>Reagent $/yr</w:t>
            </w:r>
          </w:p>
        </w:tc>
        <w:tc>
          <w:tcPr>
            <w:tcW w:w="1566" w:type="pct"/>
            <w:vAlign w:val="center"/>
          </w:tcPr>
          <w:p w14:paraId="51E0E635" w14:textId="77777777" w:rsidR="00893351" w:rsidRPr="006B5650" w:rsidRDefault="00893351" w:rsidP="002F5163">
            <w:pPr>
              <w:pStyle w:val="TableParagraph"/>
            </w:pPr>
            <w:r w:rsidRPr="006B5650">
              <w:t>315,021</w:t>
            </w:r>
          </w:p>
        </w:tc>
        <w:tc>
          <w:tcPr>
            <w:tcW w:w="1566" w:type="pct"/>
            <w:vAlign w:val="center"/>
          </w:tcPr>
          <w:p w14:paraId="3BEC6E39" w14:textId="77777777" w:rsidR="00893351" w:rsidRPr="00854163" w:rsidRDefault="00893351" w:rsidP="002F5163">
            <w:pPr>
              <w:pStyle w:val="TableParagraph"/>
            </w:pPr>
            <w:r>
              <w:t>20,677</w:t>
            </w:r>
          </w:p>
        </w:tc>
      </w:tr>
      <w:tr w:rsidR="00893351" w:rsidRPr="006B5650" w14:paraId="3DD42DBB" w14:textId="77777777" w:rsidTr="002F5163">
        <w:trPr>
          <w:trHeight w:val="432"/>
        </w:trPr>
        <w:tc>
          <w:tcPr>
            <w:tcW w:w="1868" w:type="pct"/>
            <w:vAlign w:val="center"/>
          </w:tcPr>
          <w:p w14:paraId="4AA5DDE2" w14:textId="77777777" w:rsidR="00893351" w:rsidRPr="006B5650" w:rsidRDefault="00893351" w:rsidP="002F5163">
            <w:pPr>
              <w:pStyle w:val="TableParagraph"/>
            </w:pPr>
            <w:r w:rsidRPr="006B5650">
              <w:t>Catalyst $/yr</w:t>
            </w:r>
          </w:p>
        </w:tc>
        <w:tc>
          <w:tcPr>
            <w:tcW w:w="1566" w:type="pct"/>
            <w:vAlign w:val="center"/>
          </w:tcPr>
          <w:p w14:paraId="583E1253" w14:textId="77777777" w:rsidR="00893351" w:rsidRPr="006B5650" w:rsidRDefault="00893351" w:rsidP="002F5163">
            <w:pPr>
              <w:pStyle w:val="TableParagraph"/>
            </w:pPr>
            <w:r w:rsidRPr="006B5650">
              <w:t>3,548</w:t>
            </w:r>
          </w:p>
        </w:tc>
        <w:tc>
          <w:tcPr>
            <w:tcW w:w="1566" w:type="pct"/>
            <w:vAlign w:val="center"/>
          </w:tcPr>
          <w:p w14:paraId="6051D138" w14:textId="77777777" w:rsidR="00893351" w:rsidRPr="006B5650" w:rsidRDefault="00893351" w:rsidP="002F5163">
            <w:pPr>
              <w:pStyle w:val="TableParagraph"/>
            </w:pPr>
            <w:r>
              <w:t>11,982</w:t>
            </w:r>
          </w:p>
        </w:tc>
      </w:tr>
      <w:tr w:rsidR="00893351" w:rsidRPr="006B5650" w14:paraId="3EA8139D" w14:textId="77777777" w:rsidTr="002F5163">
        <w:trPr>
          <w:trHeight w:val="432"/>
        </w:trPr>
        <w:tc>
          <w:tcPr>
            <w:tcW w:w="1868" w:type="pct"/>
            <w:vAlign w:val="center"/>
          </w:tcPr>
          <w:p w14:paraId="0FEB375A" w14:textId="77777777" w:rsidR="00893351" w:rsidRPr="006B5650" w:rsidRDefault="00893351" w:rsidP="002F5163">
            <w:pPr>
              <w:pStyle w:val="TableParagraph"/>
            </w:pPr>
            <w:r w:rsidRPr="006B5650">
              <w:t>Annualized cost $/yr</w:t>
            </w:r>
          </w:p>
        </w:tc>
        <w:tc>
          <w:tcPr>
            <w:tcW w:w="1566" w:type="pct"/>
            <w:vAlign w:val="center"/>
          </w:tcPr>
          <w:p w14:paraId="4DB7380F" w14:textId="77777777" w:rsidR="00893351" w:rsidRPr="006B5650" w:rsidRDefault="00893351" w:rsidP="002F5163">
            <w:pPr>
              <w:pStyle w:val="TableParagraph"/>
            </w:pPr>
            <w:r w:rsidRPr="006B5650">
              <w:t>2,021,692</w:t>
            </w:r>
          </w:p>
        </w:tc>
        <w:tc>
          <w:tcPr>
            <w:tcW w:w="1566" w:type="pct"/>
            <w:vAlign w:val="center"/>
          </w:tcPr>
          <w:p w14:paraId="08EE726A" w14:textId="77777777" w:rsidR="00893351" w:rsidRPr="006B5650" w:rsidRDefault="00893351" w:rsidP="002F5163">
            <w:pPr>
              <w:pStyle w:val="TableParagraph"/>
            </w:pPr>
            <w:r>
              <w:t>437,150</w:t>
            </w:r>
          </w:p>
        </w:tc>
      </w:tr>
      <w:tr w:rsidR="00893351" w:rsidRPr="006B5650" w14:paraId="45971A1C" w14:textId="77777777" w:rsidTr="002F5163">
        <w:trPr>
          <w:trHeight w:val="432"/>
        </w:trPr>
        <w:tc>
          <w:tcPr>
            <w:tcW w:w="1868" w:type="pct"/>
            <w:vAlign w:val="center"/>
          </w:tcPr>
          <w:p w14:paraId="51055656" w14:textId="56A17442" w:rsidR="00893351" w:rsidRPr="006B5650" w:rsidRDefault="00893351" w:rsidP="002F5163">
            <w:pPr>
              <w:pStyle w:val="TableParagraph"/>
            </w:pPr>
            <w:r w:rsidRPr="006B5650">
              <w:t xml:space="preserve">$/ton </w:t>
            </w:r>
            <w:r w:rsidR="000C2EB3" w:rsidRPr="000C2EB3">
              <w:t>NO</w:t>
            </w:r>
            <w:r w:rsidR="000C2EB3" w:rsidRPr="000C2EB3">
              <w:rPr>
                <w:vertAlign w:val="subscript"/>
              </w:rPr>
              <w:t>X</w:t>
            </w:r>
            <w:r w:rsidRPr="006B5650">
              <w:t xml:space="preserve"> reduced</w:t>
            </w:r>
          </w:p>
        </w:tc>
        <w:tc>
          <w:tcPr>
            <w:tcW w:w="1566" w:type="pct"/>
            <w:vAlign w:val="center"/>
          </w:tcPr>
          <w:p w14:paraId="54CDF516" w14:textId="77777777" w:rsidR="00893351" w:rsidRPr="006B5650" w:rsidRDefault="00893351" w:rsidP="002F5163">
            <w:pPr>
              <w:pStyle w:val="TableParagraph"/>
            </w:pPr>
            <w:r w:rsidRPr="006B5650">
              <w:t>16,086</w:t>
            </w:r>
          </w:p>
        </w:tc>
        <w:tc>
          <w:tcPr>
            <w:tcW w:w="1566" w:type="pct"/>
            <w:vAlign w:val="center"/>
          </w:tcPr>
          <w:p w14:paraId="7C4030A5" w14:textId="77777777" w:rsidR="00893351" w:rsidRPr="006B5650" w:rsidRDefault="00893351" w:rsidP="002F5163">
            <w:pPr>
              <w:pStyle w:val="TableParagraph"/>
            </w:pPr>
            <w:r>
              <w:t xml:space="preserve">2,962 </w:t>
            </w:r>
          </w:p>
        </w:tc>
      </w:tr>
    </w:tbl>
    <w:p w14:paraId="0F635032" w14:textId="5D3A1B1E" w:rsidR="00893351" w:rsidRPr="006B5650" w:rsidRDefault="00893351" w:rsidP="00C369B8">
      <w:pPr>
        <w:pStyle w:val="Paragraph"/>
      </w:pPr>
      <w:r w:rsidRPr="006B5650">
        <w:t>BARR incorrectly changed the default value for the Ft3/min-MMBtu/hr input to the model.</w:t>
      </w:r>
      <w:r w:rsidR="0067717B">
        <w:t xml:space="preserve"> </w:t>
      </w:r>
      <w:r w:rsidRPr="006B5650">
        <w:t>Ecology determined the minimum cost for the model of $439,065/yr.</w:t>
      </w:r>
    </w:p>
    <w:p w14:paraId="700854D2" w14:textId="77777777" w:rsidR="00893351" w:rsidRPr="006B5650" w:rsidRDefault="00893351" w:rsidP="00FA0FD4">
      <w:pPr>
        <w:pStyle w:val="Heading7"/>
      </w:pPr>
      <w:bookmarkStart w:id="237" w:name="_Toc51673428"/>
      <w:r w:rsidRPr="006B5650">
        <w:lastRenderedPageBreak/>
        <w:t>Other equipment</w:t>
      </w:r>
      <w:bookmarkEnd w:id="237"/>
    </w:p>
    <w:p w14:paraId="0AAAE125" w14:textId="44C4A1A2" w:rsidR="00893351" w:rsidRPr="006B5650" w:rsidRDefault="00543D56" w:rsidP="00C369B8">
      <w:pPr>
        <w:pStyle w:val="Paragraph"/>
      </w:pPr>
      <w:r>
        <w:t>We used the</w:t>
      </w:r>
      <w:r w:rsidR="00893351" w:rsidRPr="006B5650">
        <w:t xml:space="preserve"> default cost of $4</w:t>
      </w:r>
      <w:r w:rsidR="00893351">
        <w:t>37,150</w:t>
      </w:r>
      <w:r w:rsidR="00893351" w:rsidRPr="006B5650">
        <w:t>/yr</w:t>
      </w:r>
      <w:r w:rsidR="00E02730">
        <w:t xml:space="preserve"> </w:t>
      </w:r>
      <w:r w:rsidR="00893351" w:rsidRPr="006B5650">
        <w:t>for the other equipment.</w:t>
      </w:r>
      <w:r w:rsidR="0067717B">
        <w:t xml:space="preserve"> </w:t>
      </w:r>
      <w:r w:rsidR="00893351" w:rsidRPr="006B5650">
        <w:t xml:space="preserve">BARR incorrectly changed the default value for the Ft3/min-MMBtu/hr input to the EPA </w:t>
      </w:r>
      <w:r w:rsidR="00E35B04">
        <w:t>Control Cost Manual</w:t>
      </w:r>
      <w:r w:rsidR="00893351" w:rsidRPr="006B5650">
        <w:t xml:space="preserve"> for all their determination other than the FCCU.</w:t>
      </w:r>
    </w:p>
    <w:p w14:paraId="10209775" w14:textId="38B12AB2" w:rsidR="00893351" w:rsidRDefault="00893351" w:rsidP="00FA0FD4">
      <w:pPr>
        <w:pStyle w:val="Heading7"/>
      </w:pPr>
      <w:bookmarkStart w:id="238" w:name="_Toc51673429"/>
      <w:r>
        <w:t>Summary</w:t>
      </w:r>
      <w:r w:rsidR="003D362E">
        <w:t xml:space="preserve"> &amp; Recommendations</w:t>
      </w:r>
      <w:bookmarkEnd w:id="238"/>
      <w:r w:rsidR="003D362E">
        <w:t xml:space="preserve"> </w:t>
      </w:r>
    </w:p>
    <w:p w14:paraId="4D5F13D5" w14:textId="1FF204CD" w:rsidR="00893351" w:rsidRPr="00336799" w:rsidRDefault="00543D56" w:rsidP="00C369B8">
      <w:pPr>
        <w:pStyle w:val="Paragraph"/>
      </w:pPr>
      <w:r>
        <w:t xml:space="preserve">The 2008 BART review supports </w:t>
      </w:r>
      <w:r w:rsidR="00893351">
        <w:t>Ecology’s review</w:t>
      </w:r>
      <w:r w:rsidR="00893351" w:rsidDel="00543D56">
        <w:t xml:space="preserve"> </w:t>
      </w:r>
      <w:r w:rsidR="00893351">
        <w:t>that additional controls are cost-effective and therefore RACT rule development is recommended.</w:t>
      </w:r>
      <w:r w:rsidR="0067717B">
        <w:t xml:space="preserve"> </w:t>
      </w:r>
      <w:r w:rsidR="00893351">
        <w:t xml:space="preserve">BARR’s data is inflated and </w:t>
      </w:r>
      <w:r w:rsidR="00893351" w:rsidRPr="00336799">
        <w:t xml:space="preserve">Ecology cannot </w:t>
      </w:r>
      <w:r w:rsidR="00522DD1">
        <w:t>reconcile</w:t>
      </w:r>
      <w:r w:rsidR="00893351" w:rsidRPr="00336799">
        <w:t xml:space="preserve"> the values presented by Tesoro. </w:t>
      </w:r>
    </w:p>
    <w:p w14:paraId="5388B249" w14:textId="77777777" w:rsidR="00893351" w:rsidRPr="00336799" w:rsidRDefault="00893351" w:rsidP="00C369B8">
      <w:pPr>
        <w:pStyle w:val="Paragraph"/>
      </w:pPr>
      <w:r w:rsidRPr="00336799">
        <w:t>Factor #1 – The costs of compliance</w:t>
      </w:r>
    </w:p>
    <w:p w14:paraId="3E2C878A" w14:textId="360A517F" w:rsidR="00893351" w:rsidRPr="00336799" w:rsidRDefault="00893351" w:rsidP="00C369B8">
      <w:pPr>
        <w:pStyle w:val="Paragraph"/>
        <w:ind w:left="720"/>
      </w:pPr>
      <w:r w:rsidRPr="00336799">
        <w:t>$1,</w:t>
      </w:r>
      <w:r>
        <w:t>2</w:t>
      </w:r>
      <w:r w:rsidRPr="00336799">
        <w:t>00/ton to $7,</w:t>
      </w:r>
      <w:r>
        <w:t>6</w:t>
      </w:r>
      <w:r w:rsidRPr="00336799">
        <w:t>00/ton</w:t>
      </w:r>
    </w:p>
    <w:p w14:paraId="4D589DFC" w14:textId="77777777" w:rsidR="00893351" w:rsidRPr="00336799" w:rsidRDefault="00893351" w:rsidP="00C369B8">
      <w:pPr>
        <w:pStyle w:val="Paragraph"/>
      </w:pPr>
      <w:r w:rsidRPr="00336799">
        <w:t xml:space="preserve">Factor #2 – The time necessary for compliance </w:t>
      </w:r>
    </w:p>
    <w:p w14:paraId="5BB1B91E" w14:textId="77777777" w:rsidR="00893351" w:rsidRPr="00336799" w:rsidRDefault="00893351" w:rsidP="00C369B8">
      <w:pPr>
        <w:pStyle w:val="Paragraph"/>
        <w:ind w:left="720"/>
      </w:pPr>
      <w:r w:rsidRPr="00336799">
        <w:t>During rule development, ecology will accommodate the time necessary for design and installation of the equipment.</w:t>
      </w:r>
    </w:p>
    <w:p w14:paraId="4C17954E" w14:textId="77777777" w:rsidR="00893351" w:rsidRPr="00336799" w:rsidRDefault="00893351" w:rsidP="00C369B8">
      <w:pPr>
        <w:pStyle w:val="Paragraph"/>
      </w:pPr>
      <w:r w:rsidRPr="00336799">
        <w:t>Factor #3 – The energy and non-air quality environmental impacts of compliance</w:t>
      </w:r>
    </w:p>
    <w:p w14:paraId="3FC7B045" w14:textId="44E551E6" w:rsidR="00893351" w:rsidRPr="00336799" w:rsidRDefault="00893351" w:rsidP="00C369B8">
      <w:pPr>
        <w:pStyle w:val="Paragraph"/>
        <w:ind w:left="720"/>
      </w:pPr>
      <w:r w:rsidRPr="00336799">
        <w:t>The power needed to drive the exhaust fans is included in the analysis.</w:t>
      </w:r>
    </w:p>
    <w:p w14:paraId="6AC22639" w14:textId="77777777" w:rsidR="00893351" w:rsidRPr="00336799" w:rsidRDefault="00893351" w:rsidP="00C369B8">
      <w:pPr>
        <w:pStyle w:val="Paragraph"/>
      </w:pPr>
      <w:r w:rsidRPr="00336799">
        <w:t>Factor #4 – The remaining useful life on existing source subject to such requirements</w:t>
      </w:r>
    </w:p>
    <w:p w14:paraId="35414CC6" w14:textId="2C83B973" w:rsidR="00893351" w:rsidRPr="00336799" w:rsidRDefault="00893351" w:rsidP="00C369B8">
      <w:pPr>
        <w:pStyle w:val="Paragraph"/>
        <w:ind w:left="720"/>
      </w:pPr>
      <w:r w:rsidRPr="00336799">
        <w:t>Tesoro did not indicate that any of the equipment had a limited lifetime</w:t>
      </w:r>
      <w:r>
        <w:t>.</w:t>
      </w:r>
    </w:p>
    <w:p w14:paraId="252B0945" w14:textId="77777777" w:rsidR="00893351" w:rsidRPr="00336799" w:rsidRDefault="00893351" w:rsidP="00C369B8">
      <w:pPr>
        <w:pStyle w:val="Paragraph"/>
      </w:pPr>
      <w:r w:rsidRPr="00336799">
        <w:t>Future rule development will follow the RACT process.</w:t>
      </w:r>
    </w:p>
    <w:p w14:paraId="0BAA3F4E" w14:textId="77777777" w:rsidR="00893351" w:rsidRPr="00C369B8" w:rsidRDefault="00893351" w:rsidP="00FA0FD4">
      <w:pPr>
        <w:pStyle w:val="Heading5"/>
      </w:pPr>
      <w:bookmarkStart w:id="239" w:name="_Toc51673430"/>
      <w:bookmarkStart w:id="240" w:name="_Toc51674440"/>
      <w:r w:rsidRPr="00C369B8">
        <w:t>US Oil</w:t>
      </w:r>
      <w:bookmarkEnd w:id="239"/>
      <w:bookmarkEnd w:id="240"/>
    </w:p>
    <w:p w14:paraId="6ED3C99B" w14:textId="6D966872" w:rsidR="00893351" w:rsidRDefault="00893351" w:rsidP="00C369B8">
      <w:pPr>
        <w:pStyle w:val="Paragraph"/>
      </w:pPr>
      <w:r w:rsidRPr="00AE0FB7">
        <w:t xml:space="preserve">The </w:t>
      </w:r>
      <w:r>
        <w:t xml:space="preserve">US Oil </w:t>
      </w:r>
      <w:r w:rsidR="003D362E">
        <w:t>Refinery</w:t>
      </w:r>
      <w:r w:rsidR="003D362E" w:rsidRPr="00AE0FB7">
        <w:t xml:space="preserve"> </w:t>
      </w:r>
      <w:r w:rsidRPr="00AE0FB7">
        <w:t xml:space="preserve">has an average </w:t>
      </w:r>
      <w:r>
        <w:t xml:space="preserve">daily </w:t>
      </w:r>
      <w:r w:rsidRPr="00AE0FB7">
        <w:t>processing rate of approximately 4</w:t>
      </w:r>
      <w:r>
        <w:t>1</w:t>
      </w:r>
      <w:r w:rsidRPr="00AE0FB7">
        <w:t>,000 barrels of crude oil per day</w:t>
      </w:r>
      <w:r>
        <w:t>.</w:t>
      </w:r>
      <w:r w:rsidR="0067717B">
        <w:t xml:space="preserve"> </w:t>
      </w:r>
      <w:r w:rsidR="003D362E">
        <w:t>It</w:t>
      </w:r>
      <w:r>
        <w:t xml:space="preserve"> uses crude oil as a feedstock</w:t>
      </w:r>
      <w:r w:rsidR="00E02730">
        <w:t xml:space="preserve"> </w:t>
      </w:r>
      <w:r>
        <w:t>processed into a variety of petroleum products including gasoline, diesel, fuel oil, and asphalt.</w:t>
      </w:r>
      <w:r w:rsidR="008F67E2">
        <w:rPr>
          <w:rStyle w:val="FootnoteReference"/>
        </w:rPr>
        <w:footnoteReference w:id="31"/>
      </w:r>
    </w:p>
    <w:p w14:paraId="2B8FA122" w14:textId="77777777" w:rsidR="00893351" w:rsidRDefault="00893351" w:rsidP="00FA0FD4">
      <w:pPr>
        <w:pStyle w:val="Heading6"/>
      </w:pPr>
      <w:bookmarkStart w:id="241" w:name="_Toc49523861"/>
      <w:bookmarkStart w:id="242" w:name="_Toc49863893"/>
      <w:bookmarkStart w:id="243" w:name="_Toc51673431"/>
      <w:r>
        <w:t>Regional Haze, State Implementation Plan, Final December 2010</w:t>
      </w:r>
      <w:bookmarkEnd w:id="241"/>
      <w:bookmarkEnd w:id="242"/>
      <w:bookmarkEnd w:id="243"/>
    </w:p>
    <w:p w14:paraId="40256AEC" w14:textId="33298489" w:rsidR="00893351" w:rsidRDefault="00893351" w:rsidP="00C369B8">
      <w:pPr>
        <w:pStyle w:val="Paragraph"/>
      </w:pPr>
      <w:r>
        <w:t>BART for US Oil was not trigger</w:t>
      </w:r>
      <w:r w:rsidR="007A2177">
        <w:t>ed</w:t>
      </w:r>
      <w:r>
        <w:t xml:space="preserve"> based on their emissions.</w:t>
      </w:r>
    </w:p>
    <w:p w14:paraId="7683A3D7" w14:textId="77777777" w:rsidR="00893351" w:rsidRDefault="00893351" w:rsidP="00FA0FD4">
      <w:pPr>
        <w:pStyle w:val="Heading6"/>
      </w:pPr>
      <w:bookmarkStart w:id="244" w:name="_Toc49523862"/>
      <w:bookmarkStart w:id="245" w:name="_Toc49863894"/>
      <w:bookmarkStart w:id="246" w:name="_Toc51673432"/>
      <w:r>
        <w:t>Regional Haze, Four Factor Analysis 2020</w:t>
      </w:r>
      <w:bookmarkEnd w:id="244"/>
      <w:bookmarkEnd w:id="245"/>
      <w:bookmarkEnd w:id="246"/>
    </w:p>
    <w:p w14:paraId="33317394" w14:textId="74A17637" w:rsidR="00893351" w:rsidRDefault="00893351" w:rsidP="00C369B8">
      <w:pPr>
        <w:pStyle w:val="Paragraph"/>
      </w:pPr>
      <w:r>
        <w:t>US Oil submitted a FFA to Ecology in April 2020.</w:t>
      </w:r>
      <w:r w:rsidR="0067717B">
        <w:t xml:space="preserve"> </w:t>
      </w:r>
      <w:r w:rsidDel="00543D56">
        <w:t>Trinity Consultants</w:t>
      </w:r>
      <w:r w:rsidR="00543D56">
        <w:t xml:space="preserve"> prepared it</w:t>
      </w:r>
      <w:r>
        <w:t>.</w:t>
      </w:r>
      <w:r w:rsidR="0067717B">
        <w:t xml:space="preserve"> </w:t>
      </w:r>
      <w:r>
        <w:t xml:space="preserve">Ecology performed an analysis and concluded that </w:t>
      </w:r>
      <w:r w:rsidR="00543D56">
        <w:t xml:space="preserve">Trinity Consultants based </w:t>
      </w:r>
      <w:r>
        <w:t>the technical data used in the review</w:t>
      </w:r>
      <w:r w:rsidDel="00543D56">
        <w:t xml:space="preserve"> </w:t>
      </w:r>
      <w:r>
        <w:t xml:space="preserve">on the EPA </w:t>
      </w:r>
      <w:r w:rsidR="00403FC3">
        <w:t xml:space="preserve">Control </w:t>
      </w:r>
      <w:r>
        <w:t xml:space="preserve">Cost </w:t>
      </w:r>
      <w:r w:rsidR="00403FC3">
        <w:t>M</w:t>
      </w:r>
      <w:r>
        <w:t>anual. The data was similar to Ecology’s review.</w:t>
      </w:r>
      <w:r w:rsidR="0067717B">
        <w:t xml:space="preserve"> </w:t>
      </w:r>
      <w:r>
        <w:t xml:space="preserve">The </w:t>
      </w:r>
      <w:r>
        <w:lastRenderedPageBreak/>
        <w:t xml:space="preserve">emissions were only 28 tpy for the largest unit and the cost effectiveness was over $15,000/ton of </w:t>
      </w:r>
      <w:r w:rsidR="000C2EB3" w:rsidRPr="001E255C">
        <w:rPr>
          <w:rStyle w:val="ParagraphChar"/>
        </w:rPr>
        <w:t>NO</w:t>
      </w:r>
      <w:r w:rsidR="000C2EB3" w:rsidRPr="001E255C">
        <w:rPr>
          <w:rStyle w:val="ParagraphChar"/>
          <w:vertAlign w:val="subscript"/>
        </w:rPr>
        <w:t>X</w:t>
      </w:r>
      <w:r>
        <w:t xml:space="preserve"> reductions.</w:t>
      </w:r>
    </w:p>
    <w:p w14:paraId="0B2BD401" w14:textId="7141076D" w:rsidR="00893351" w:rsidRDefault="00893351" w:rsidP="00C369B8">
      <w:pPr>
        <w:pStyle w:val="Paragraph"/>
      </w:pPr>
      <w:r>
        <w:t xml:space="preserve">The following is Ecology’s review of the Four Factor Analysis supplied by US Oil on selected equipment compared to the EPA </w:t>
      </w:r>
      <w:r w:rsidR="00403FC3">
        <w:t>Control Cost Manual</w:t>
      </w:r>
      <w:r>
        <w:t>:</w:t>
      </w:r>
    </w:p>
    <w:p w14:paraId="2B70D8AC" w14:textId="77777777" w:rsidR="00893351" w:rsidRPr="00C369B8" w:rsidRDefault="00893351" w:rsidP="00FA0FD4">
      <w:pPr>
        <w:pStyle w:val="Heading7"/>
      </w:pPr>
      <w:bookmarkStart w:id="247" w:name="_Toc51673433"/>
      <w:r w:rsidRPr="00C369B8">
        <w:t>HEATER H11</w:t>
      </w:r>
      <w:bookmarkEnd w:id="247"/>
    </w:p>
    <w:p w14:paraId="42A8EB3A" w14:textId="3A8505C9" w:rsidR="00893351" w:rsidRDefault="00893351" w:rsidP="00C369B8">
      <w:pPr>
        <w:pStyle w:val="Paragraph"/>
      </w:pPr>
      <w:r>
        <w:t>Trinity Consultants supplied a table with the limited backup information.</w:t>
      </w:r>
    </w:p>
    <w:p w14:paraId="2DCAB151" w14:textId="1B858672" w:rsidR="00FA0FD4" w:rsidRDefault="00FA0FD4" w:rsidP="001D4975">
      <w:pPr>
        <w:pStyle w:val="Caption"/>
        <w:keepNext/>
        <w:spacing w:after="0"/>
      </w:pPr>
      <w:bookmarkStart w:id="248" w:name="_Toc51675394"/>
      <w:r>
        <w:t xml:space="preserve">Table </w:t>
      </w:r>
      <w:r w:rsidR="00F45623">
        <w:rPr>
          <w:noProof/>
        </w:rPr>
        <w:fldChar w:fldCharType="begin"/>
      </w:r>
      <w:r w:rsidR="00F45623">
        <w:rPr>
          <w:noProof/>
        </w:rPr>
        <w:instrText xml:space="preserve"> SEQ Table \* ARABIC </w:instrText>
      </w:r>
      <w:r w:rsidR="00F45623">
        <w:rPr>
          <w:noProof/>
        </w:rPr>
        <w:fldChar w:fldCharType="separate"/>
      </w:r>
      <w:r w:rsidR="00396A5E">
        <w:rPr>
          <w:noProof/>
        </w:rPr>
        <w:t>23</w:t>
      </w:r>
      <w:r w:rsidR="00F45623">
        <w:rPr>
          <w:noProof/>
        </w:rPr>
        <w:fldChar w:fldCharType="end"/>
      </w:r>
      <w:r>
        <w:t xml:space="preserve">: </w:t>
      </w:r>
      <w:r w:rsidR="001D4975">
        <w:t>Heater</w:t>
      </w:r>
      <w:r w:rsidRPr="008C3259">
        <w:t xml:space="preserve"> H11 cost comparison</w:t>
      </w:r>
      <w:bookmarkEnd w:id="248"/>
    </w:p>
    <w:tbl>
      <w:tblPr>
        <w:tblStyle w:val="TableGrid"/>
        <w:tblW w:w="5000" w:type="pct"/>
        <w:tblLook w:val="04A0" w:firstRow="1" w:lastRow="0" w:firstColumn="1" w:lastColumn="0" w:noHBand="0" w:noVBand="1"/>
      </w:tblPr>
      <w:tblGrid>
        <w:gridCol w:w="3793"/>
        <w:gridCol w:w="2378"/>
        <w:gridCol w:w="3179"/>
      </w:tblGrid>
      <w:tr w:rsidR="00893351" w:rsidRPr="00C60411" w14:paraId="5DEE1D59" w14:textId="77777777" w:rsidTr="00FA0FD4">
        <w:trPr>
          <w:cantSplit/>
          <w:trHeight w:val="432"/>
          <w:tblHeader/>
        </w:trPr>
        <w:tc>
          <w:tcPr>
            <w:tcW w:w="2028" w:type="pct"/>
            <w:vAlign w:val="center"/>
          </w:tcPr>
          <w:p w14:paraId="05C0DFC5" w14:textId="77777777" w:rsidR="00893351" w:rsidRPr="006D3ACB" w:rsidRDefault="00893351" w:rsidP="00FA0FD4">
            <w:pPr>
              <w:pStyle w:val="TableParagraph"/>
              <w:rPr>
                <w:b/>
              </w:rPr>
            </w:pPr>
          </w:p>
        </w:tc>
        <w:tc>
          <w:tcPr>
            <w:tcW w:w="1271" w:type="pct"/>
            <w:vAlign w:val="center"/>
          </w:tcPr>
          <w:p w14:paraId="53553081" w14:textId="77777777" w:rsidR="00893351" w:rsidRPr="006D3ACB" w:rsidRDefault="00893351" w:rsidP="00FA0FD4">
            <w:pPr>
              <w:pStyle w:val="TableParagraph"/>
              <w:rPr>
                <w:b/>
              </w:rPr>
            </w:pPr>
            <w:r w:rsidRPr="006D3ACB">
              <w:rPr>
                <w:b/>
              </w:rPr>
              <w:t>Trinity</w:t>
            </w:r>
            <w:r w:rsidRPr="006D3ACB">
              <w:rPr>
                <w:b/>
              </w:rPr>
              <w:br/>
              <w:t>Consultants</w:t>
            </w:r>
          </w:p>
        </w:tc>
        <w:tc>
          <w:tcPr>
            <w:tcW w:w="1700" w:type="pct"/>
            <w:vAlign w:val="center"/>
          </w:tcPr>
          <w:p w14:paraId="06329797" w14:textId="76AD4137" w:rsidR="00893351" w:rsidRPr="006D3ACB" w:rsidRDefault="00893351" w:rsidP="00FA0FD4">
            <w:pPr>
              <w:pStyle w:val="TableParagraph"/>
              <w:rPr>
                <w:b/>
              </w:rPr>
            </w:pPr>
            <w:r w:rsidRPr="006D3ACB">
              <w:rPr>
                <w:b/>
              </w:rPr>
              <w:t>Ecology</w:t>
            </w:r>
            <w:r w:rsidRPr="006D3ACB">
              <w:rPr>
                <w:b/>
              </w:rPr>
              <w:br/>
              <w:t xml:space="preserve">EPA </w:t>
            </w:r>
            <w:r w:rsidR="00E35B04" w:rsidRPr="006D3ACB">
              <w:rPr>
                <w:b/>
              </w:rPr>
              <w:t>Control Cost Manual</w:t>
            </w:r>
            <w:r w:rsidR="00403FC3" w:rsidRPr="006D3ACB">
              <w:rPr>
                <w:b/>
              </w:rPr>
              <w:t>Control Cost Manual</w:t>
            </w:r>
          </w:p>
        </w:tc>
      </w:tr>
      <w:tr w:rsidR="00893351" w:rsidRPr="00C60411" w14:paraId="7B2A3D88" w14:textId="77777777" w:rsidTr="00FA0FD4">
        <w:trPr>
          <w:trHeight w:val="432"/>
        </w:trPr>
        <w:tc>
          <w:tcPr>
            <w:tcW w:w="2028" w:type="pct"/>
            <w:vAlign w:val="center"/>
          </w:tcPr>
          <w:p w14:paraId="12E8C098" w14:textId="77777777" w:rsidR="00893351" w:rsidRPr="006D3ACB" w:rsidRDefault="00893351" w:rsidP="00FA0FD4">
            <w:pPr>
              <w:pStyle w:val="TableParagraph"/>
            </w:pPr>
            <w:r w:rsidRPr="006D3ACB">
              <w:t>Capital cost $</w:t>
            </w:r>
          </w:p>
        </w:tc>
        <w:tc>
          <w:tcPr>
            <w:tcW w:w="1271" w:type="pct"/>
            <w:vAlign w:val="center"/>
          </w:tcPr>
          <w:p w14:paraId="063131DB" w14:textId="77777777" w:rsidR="00893351" w:rsidRPr="006D3ACB" w:rsidRDefault="00893351" w:rsidP="00FA0FD4">
            <w:pPr>
              <w:pStyle w:val="TableParagraph"/>
            </w:pPr>
            <w:r w:rsidRPr="006D3ACB">
              <w:t>4,894,235</w:t>
            </w:r>
          </w:p>
        </w:tc>
        <w:tc>
          <w:tcPr>
            <w:tcW w:w="1700" w:type="pct"/>
            <w:vAlign w:val="center"/>
          </w:tcPr>
          <w:p w14:paraId="28525F99" w14:textId="77777777" w:rsidR="00893351" w:rsidRPr="006D3ACB" w:rsidRDefault="00893351" w:rsidP="00FA0FD4">
            <w:pPr>
              <w:pStyle w:val="TableParagraph"/>
              <w:rPr>
                <w:color w:val="000000"/>
              </w:rPr>
            </w:pPr>
            <w:r w:rsidRPr="006D3ACB">
              <w:rPr>
                <w:color w:val="000000"/>
              </w:rPr>
              <w:t>5,084,927</w:t>
            </w:r>
          </w:p>
        </w:tc>
      </w:tr>
      <w:tr w:rsidR="00893351" w:rsidRPr="00C60411" w14:paraId="3DC8A52F" w14:textId="77777777" w:rsidTr="00FA0FD4">
        <w:trPr>
          <w:trHeight w:val="432"/>
        </w:trPr>
        <w:tc>
          <w:tcPr>
            <w:tcW w:w="2028" w:type="pct"/>
            <w:vAlign w:val="center"/>
          </w:tcPr>
          <w:p w14:paraId="1E877927" w14:textId="77777777" w:rsidR="00893351" w:rsidRPr="006D3ACB" w:rsidRDefault="00893351" w:rsidP="00FA0FD4">
            <w:pPr>
              <w:pStyle w:val="TableParagraph"/>
            </w:pPr>
            <w:r w:rsidRPr="006D3ACB">
              <w:t>Maintenance $/yr</w:t>
            </w:r>
          </w:p>
        </w:tc>
        <w:tc>
          <w:tcPr>
            <w:tcW w:w="1271" w:type="pct"/>
            <w:vAlign w:val="center"/>
          </w:tcPr>
          <w:p w14:paraId="4E3F92A0" w14:textId="77777777" w:rsidR="00893351" w:rsidRPr="006D3ACB" w:rsidRDefault="00893351" w:rsidP="00FA0FD4">
            <w:pPr>
              <w:pStyle w:val="TableParagraph"/>
            </w:pPr>
            <w:r w:rsidRPr="006D3ACB">
              <w:t>24,471</w:t>
            </w:r>
          </w:p>
        </w:tc>
        <w:tc>
          <w:tcPr>
            <w:tcW w:w="1700" w:type="pct"/>
            <w:vAlign w:val="center"/>
          </w:tcPr>
          <w:p w14:paraId="77E8EC92" w14:textId="77777777" w:rsidR="00893351" w:rsidRPr="006D3ACB" w:rsidRDefault="00893351" w:rsidP="00FA0FD4">
            <w:pPr>
              <w:pStyle w:val="TableParagraph"/>
              <w:rPr>
                <w:color w:val="000000"/>
              </w:rPr>
            </w:pPr>
            <w:r w:rsidRPr="006D3ACB">
              <w:rPr>
                <w:color w:val="000000"/>
              </w:rPr>
              <w:t>25,425</w:t>
            </w:r>
          </w:p>
        </w:tc>
      </w:tr>
      <w:tr w:rsidR="00893351" w:rsidRPr="00C60411" w14:paraId="21061DA2" w14:textId="77777777" w:rsidTr="00FA0FD4">
        <w:trPr>
          <w:trHeight w:val="432"/>
        </w:trPr>
        <w:tc>
          <w:tcPr>
            <w:tcW w:w="2028" w:type="pct"/>
            <w:vAlign w:val="center"/>
          </w:tcPr>
          <w:p w14:paraId="5575D790" w14:textId="77777777" w:rsidR="00893351" w:rsidRPr="006D3ACB" w:rsidRDefault="00893351" w:rsidP="00FA0FD4">
            <w:pPr>
              <w:pStyle w:val="TableParagraph"/>
            </w:pPr>
            <w:r w:rsidRPr="006D3ACB">
              <w:t>Reagent $/yr</w:t>
            </w:r>
          </w:p>
        </w:tc>
        <w:tc>
          <w:tcPr>
            <w:tcW w:w="1271" w:type="pct"/>
            <w:vAlign w:val="center"/>
          </w:tcPr>
          <w:p w14:paraId="24DB80D6" w14:textId="77777777" w:rsidR="00893351" w:rsidRPr="006D3ACB" w:rsidRDefault="00893351" w:rsidP="00FA0FD4">
            <w:pPr>
              <w:pStyle w:val="TableParagraph"/>
            </w:pPr>
            <w:r w:rsidRPr="006D3ACB">
              <w:t>2,979</w:t>
            </w:r>
          </w:p>
        </w:tc>
        <w:tc>
          <w:tcPr>
            <w:tcW w:w="1700" w:type="pct"/>
            <w:vAlign w:val="center"/>
          </w:tcPr>
          <w:p w14:paraId="13EA5D33" w14:textId="77777777" w:rsidR="00893351" w:rsidRPr="006D3ACB" w:rsidRDefault="00893351" w:rsidP="00FA0FD4">
            <w:pPr>
              <w:pStyle w:val="TableParagraph"/>
              <w:rPr>
                <w:color w:val="000000"/>
              </w:rPr>
            </w:pPr>
            <w:r w:rsidRPr="006D3ACB">
              <w:rPr>
                <w:color w:val="000000"/>
              </w:rPr>
              <w:t>20,677</w:t>
            </w:r>
          </w:p>
        </w:tc>
      </w:tr>
      <w:tr w:rsidR="00893351" w:rsidRPr="00C60411" w14:paraId="1BF6E2E8" w14:textId="77777777" w:rsidTr="00FA0FD4">
        <w:trPr>
          <w:trHeight w:val="432"/>
        </w:trPr>
        <w:tc>
          <w:tcPr>
            <w:tcW w:w="2028" w:type="pct"/>
            <w:vAlign w:val="center"/>
          </w:tcPr>
          <w:p w14:paraId="02AB9ADC" w14:textId="77777777" w:rsidR="00893351" w:rsidRPr="006D3ACB" w:rsidRDefault="00893351" w:rsidP="00FA0FD4">
            <w:pPr>
              <w:pStyle w:val="TableParagraph"/>
            </w:pPr>
            <w:r w:rsidRPr="006D3ACB">
              <w:t>Catalyst $/yr</w:t>
            </w:r>
          </w:p>
        </w:tc>
        <w:tc>
          <w:tcPr>
            <w:tcW w:w="1271" w:type="pct"/>
            <w:vAlign w:val="center"/>
          </w:tcPr>
          <w:p w14:paraId="0C609695" w14:textId="77777777" w:rsidR="00893351" w:rsidRPr="006D3ACB" w:rsidRDefault="00893351" w:rsidP="00FA0FD4">
            <w:pPr>
              <w:pStyle w:val="TableParagraph"/>
            </w:pPr>
            <w:r w:rsidRPr="006D3ACB">
              <w:t>9,862</w:t>
            </w:r>
          </w:p>
        </w:tc>
        <w:tc>
          <w:tcPr>
            <w:tcW w:w="1700" w:type="pct"/>
            <w:vAlign w:val="center"/>
          </w:tcPr>
          <w:p w14:paraId="707D8F7F" w14:textId="77777777" w:rsidR="00893351" w:rsidRPr="006D3ACB" w:rsidRDefault="00893351" w:rsidP="00FA0FD4">
            <w:pPr>
              <w:pStyle w:val="TableParagraph"/>
              <w:rPr>
                <w:color w:val="000000"/>
              </w:rPr>
            </w:pPr>
            <w:r w:rsidRPr="006D3ACB">
              <w:rPr>
                <w:color w:val="000000"/>
              </w:rPr>
              <w:t>11,982</w:t>
            </w:r>
          </w:p>
        </w:tc>
      </w:tr>
      <w:tr w:rsidR="00893351" w:rsidRPr="00C60411" w14:paraId="52E0D6A3" w14:textId="77777777" w:rsidTr="00FA0FD4">
        <w:trPr>
          <w:trHeight w:val="432"/>
        </w:trPr>
        <w:tc>
          <w:tcPr>
            <w:tcW w:w="2028" w:type="pct"/>
            <w:vAlign w:val="center"/>
          </w:tcPr>
          <w:p w14:paraId="696B9880" w14:textId="77777777" w:rsidR="00893351" w:rsidRPr="006D3ACB" w:rsidRDefault="00893351" w:rsidP="00FA0FD4">
            <w:pPr>
              <w:pStyle w:val="TableParagraph"/>
            </w:pPr>
            <w:r w:rsidRPr="006D3ACB">
              <w:t>Annualized cost $/yr</w:t>
            </w:r>
          </w:p>
        </w:tc>
        <w:tc>
          <w:tcPr>
            <w:tcW w:w="1271" w:type="pct"/>
            <w:vAlign w:val="center"/>
          </w:tcPr>
          <w:p w14:paraId="5FC64582" w14:textId="77777777" w:rsidR="00893351" w:rsidRPr="006D3ACB" w:rsidRDefault="00893351" w:rsidP="00FA0FD4">
            <w:pPr>
              <w:pStyle w:val="TableParagraph"/>
            </w:pPr>
            <w:r w:rsidRPr="006D3ACB">
              <w:t>522,175</w:t>
            </w:r>
          </w:p>
        </w:tc>
        <w:tc>
          <w:tcPr>
            <w:tcW w:w="1700" w:type="pct"/>
            <w:vAlign w:val="center"/>
          </w:tcPr>
          <w:p w14:paraId="5465725A" w14:textId="77777777" w:rsidR="00893351" w:rsidRPr="006D3ACB" w:rsidRDefault="00893351" w:rsidP="00FA0FD4">
            <w:pPr>
              <w:pStyle w:val="TableParagraph"/>
              <w:rPr>
                <w:color w:val="000000"/>
              </w:rPr>
            </w:pPr>
            <w:r w:rsidRPr="006D3ACB">
              <w:rPr>
                <w:color w:val="000000"/>
              </w:rPr>
              <w:t>437,150</w:t>
            </w:r>
          </w:p>
        </w:tc>
      </w:tr>
      <w:tr w:rsidR="00893351" w:rsidRPr="00C60411" w14:paraId="0840CB67" w14:textId="77777777" w:rsidTr="00FA0FD4">
        <w:trPr>
          <w:trHeight w:val="432"/>
        </w:trPr>
        <w:tc>
          <w:tcPr>
            <w:tcW w:w="2028" w:type="pct"/>
            <w:vAlign w:val="center"/>
          </w:tcPr>
          <w:p w14:paraId="1697134B" w14:textId="01963424" w:rsidR="00893351" w:rsidRPr="006D3ACB" w:rsidRDefault="000C2EB3" w:rsidP="00FA0FD4">
            <w:pPr>
              <w:pStyle w:val="TableParagraph"/>
            </w:pPr>
            <w:r w:rsidRPr="006D3ACB">
              <w:t>NO</w:t>
            </w:r>
            <w:r w:rsidRPr="006D3ACB">
              <w:rPr>
                <w:vertAlign w:val="subscript"/>
              </w:rPr>
              <w:t>X</w:t>
            </w:r>
            <w:r w:rsidR="00893351" w:rsidRPr="006D3ACB">
              <w:t xml:space="preserve"> tpy reduced</w:t>
            </w:r>
          </w:p>
        </w:tc>
        <w:tc>
          <w:tcPr>
            <w:tcW w:w="1271" w:type="pct"/>
            <w:vAlign w:val="center"/>
          </w:tcPr>
          <w:p w14:paraId="3CCBE330" w14:textId="77777777" w:rsidR="00893351" w:rsidRPr="006D3ACB" w:rsidRDefault="00893351" w:rsidP="00FA0FD4">
            <w:pPr>
              <w:pStyle w:val="TableParagraph"/>
            </w:pPr>
            <w:r w:rsidRPr="006D3ACB">
              <w:t>28</w:t>
            </w:r>
          </w:p>
        </w:tc>
        <w:tc>
          <w:tcPr>
            <w:tcW w:w="1700" w:type="pct"/>
            <w:vAlign w:val="center"/>
          </w:tcPr>
          <w:p w14:paraId="74D77217" w14:textId="77777777" w:rsidR="00893351" w:rsidRPr="006D3ACB" w:rsidRDefault="00893351" w:rsidP="00FA0FD4">
            <w:pPr>
              <w:pStyle w:val="TableParagraph"/>
            </w:pPr>
            <w:r w:rsidRPr="006D3ACB">
              <w:t>28</w:t>
            </w:r>
          </w:p>
        </w:tc>
      </w:tr>
      <w:tr w:rsidR="00893351" w:rsidRPr="00C60411" w14:paraId="501DE159" w14:textId="77777777" w:rsidTr="00FA0FD4">
        <w:trPr>
          <w:trHeight w:val="432"/>
        </w:trPr>
        <w:tc>
          <w:tcPr>
            <w:tcW w:w="2028" w:type="pct"/>
            <w:vAlign w:val="center"/>
          </w:tcPr>
          <w:p w14:paraId="38C7E963" w14:textId="5736F39F" w:rsidR="00893351" w:rsidRPr="006D3ACB" w:rsidRDefault="00893351" w:rsidP="00FA0FD4">
            <w:pPr>
              <w:pStyle w:val="TableParagraph"/>
            </w:pPr>
            <w:r w:rsidRPr="006D3ACB">
              <w:t xml:space="preserve">$/ton </w:t>
            </w:r>
            <w:r w:rsidR="000C2EB3" w:rsidRPr="006D3ACB">
              <w:t>NO</w:t>
            </w:r>
            <w:r w:rsidR="000C2EB3" w:rsidRPr="006D3ACB">
              <w:rPr>
                <w:vertAlign w:val="subscript"/>
              </w:rPr>
              <w:t>X</w:t>
            </w:r>
            <w:r w:rsidRPr="006D3ACB">
              <w:t xml:space="preserve"> reduced</w:t>
            </w:r>
          </w:p>
        </w:tc>
        <w:tc>
          <w:tcPr>
            <w:tcW w:w="1271" w:type="pct"/>
            <w:vAlign w:val="center"/>
          </w:tcPr>
          <w:p w14:paraId="685152EE" w14:textId="77777777" w:rsidR="00893351" w:rsidRPr="006D3ACB" w:rsidRDefault="00893351" w:rsidP="00FA0FD4">
            <w:pPr>
              <w:pStyle w:val="TableParagraph"/>
            </w:pPr>
            <w:r w:rsidRPr="006D3ACB">
              <w:t>18,649</w:t>
            </w:r>
          </w:p>
        </w:tc>
        <w:tc>
          <w:tcPr>
            <w:tcW w:w="1700" w:type="pct"/>
            <w:vAlign w:val="center"/>
          </w:tcPr>
          <w:p w14:paraId="12E757BE" w14:textId="77777777" w:rsidR="00893351" w:rsidRPr="006D3ACB" w:rsidRDefault="00893351" w:rsidP="00FA0FD4">
            <w:pPr>
              <w:pStyle w:val="TableParagraph"/>
            </w:pPr>
            <w:r w:rsidRPr="006D3ACB">
              <w:t>15,612</w:t>
            </w:r>
          </w:p>
        </w:tc>
      </w:tr>
    </w:tbl>
    <w:p w14:paraId="255AFE8E" w14:textId="2F71A6E8" w:rsidR="00893351" w:rsidRPr="00C60411" w:rsidRDefault="00893351" w:rsidP="008A1887">
      <w:pPr>
        <w:pStyle w:val="Paragraph"/>
      </w:pPr>
      <w:r w:rsidRPr="00C60411">
        <w:t xml:space="preserve">Ecology and Trinity Consultants used the EPA </w:t>
      </w:r>
      <w:r w:rsidR="00E35B04">
        <w:t>Control Cost Manual</w:t>
      </w:r>
      <w:r w:rsidRPr="00C60411">
        <w:t xml:space="preserve"> with minor differences.</w:t>
      </w:r>
    </w:p>
    <w:p w14:paraId="0AF6370F" w14:textId="06536D13" w:rsidR="00893351" w:rsidRDefault="00893351" w:rsidP="00FA0FD4">
      <w:pPr>
        <w:pStyle w:val="Heading7"/>
      </w:pPr>
      <w:bookmarkStart w:id="249" w:name="_Toc51673434"/>
      <w:r>
        <w:t>Summary</w:t>
      </w:r>
      <w:r w:rsidR="00172180">
        <w:t xml:space="preserve"> </w:t>
      </w:r>
      <w:r w:rsidR="00690FBC">
        <w:t>and preliminary r</w:t>
      </w:r>
      <w:r w:rsidR="00172180">
        <w:t>ecommendations</w:t>
      </w:r>
      <w:bookmarkEnd w:id="249"/>
    </w:p>
    <w:p w14:paraId="22AAEC81" w14:textId="214FD5AB" w:rsidR="00893351" w:rsidRPr="008A1887" w:rsidRDefault="00893351" w:rsidP="008A1887">
      <w:pPr>
        <w:pStyle w:val="Paragraph"/>
      </w:pPr>
      <w:r>
        <w:t xml:space="preserve">Ecology’s </w:t>
      </w:r>
      <w:r w:rsidRPr="008A1887">
        <w:t>review indicates that additional controls are above level that were cost-effective in the BACT for the Coker Heater PSD permit.</w:t>
      </w:r>
      <w:r w:rsidR="0067717B" w:rsidRPr="008A1887">
        <w:t xml:space="preserve"> </w:t>
      </w:r>
      <w:r w:rsidR="00543D56">
        <w:t xml:space="preserve">Ecology may not consider </w:t>
      </w:r>
      <w:r w:rsidRPr="008A1887">
        <w:t>US Oil</w:t>
      </w:r>
      <w:r w:rsidR="00E02730">
        <w:t xml:space="preserve"> </w:t>
      </w:r>
      <w:r w:rsidRPr="008A1887">
        <w:t>for SCR rule development.</w:t>
      </w:r>
      <w:r w:rsidR="0067717B" w:rsidRPr="008A1887">
        <w:t xml:space="preserve"> </w:t>
      </w:r>
      <w:r w:rsidRPr="008A1887">
        <w:t>Other RACT requirement may effect US Oil operations.</w:t>
      </w:r>
    </w:p>
    <w:p w14:paraId="123FD13B" w14:textId="77777777" w:rsidR="00893351" w:rsidRPr="008A1887" w:rsidRDefault="00893351" w:rsidP="008A1887">
      <w:pPr>
        <w:pStyle w:val="Paragraph"/>
      </w:pPr>
      <w:r w:rsidRPr="008A1887">
        <w:t>Factor #1 – The costs of compliance</w:t>
      </w:r>
    </w:p>
    <w:p w14:paraId="354A7909" w14:textId="3C27E2EF" w:rsidR="00893351" w:rsidRPr="008A1887" w:rsidRDefault="00893351" w:rsidP="008A1887">
      <w:pPr>
        <w:pStyle w:val="Paragraph"/>
        <w:ind w:left="720"/>
      </w:pPr>
      <w:r w:rsidRPr="008A1887">
        <w:t>Over $15,000/ton for SCR controls</w:t>
      </w:r>
    </w:p>
    <w:p w14:paraId="05121561" w14:textId="77777777" w:rsidR="00893351" w:rsidRPr="008A1887" w:rsidRDefault="00893351" w:rsidP="008A1887">
      <w:pPr>
        <w:pStyle w:val="Paragraph"/>
      </w:pPr>
      <w:r w:rsidRPr="008A1887">
        <w:t xml:space="preserve">Factor #2 – The time necessary for compliance </w:t>
      </w:r>
    </w:p>
    <w:p w14:paraId="21CAEC2D" w14:textId="77777777" w:rsidR="00893351" w:rsidRPr="008A1887" w:rsidRDefault="00893351" w:rsidP="008A1887">
      <w:pPr>
        <w:pStyle w:val="Paragraph"/>
        <w:ind w:left="720"/>
      </w:pPr>
      <w:r w:rsidRPr="008A1887">
        <w:t>During rule development, ecology will accommodate the time necessary for design and installation of the equipment.</w:t>
      </w:r>
    </w:p>
    <w:p w14:paraId="00D34E32" w14:textId="77777777" w:rsidR="00893351" w:rsidRPr="008A1887" w:rsidRDefault="00893351" w:rsidP="008A1887">
      <w:pPr>
        <w:pStyle w:val="Paragraph"/>
      </w:pPr>
      <w:r w:rsidRPr="008A1887">
        <w:t>Factor #3 – The energy and non-air quality environmental impacts of compliance</w:t>
      </w:r>
    </w:p>
    <w:p w14:paraId="456B9175" w14:textId="6139B081" w:rsidR="00893351" w:rsidRPr="008A1887" w:rsidRDefault="00893351" w:rsidP="008A1887">
      <w:pPr>
        <w:pStyle w:val="Paragraph"/>
        <w:ind w:left="720"/>
      </w:pPr>
      <w:r w:rsidRPr="008A1887">
        <w:t>The power needed to drive the exhaust fans is included in the analysis.</w:t>
      </w:r>
    </w:p>
    <w:p w14:paraId="4AB7FF4F" w14:textId="77777777" w:rsidR="00893351" w:rsidRPr="008A1887" w:rsidRDefault="00893351" w:rsidP="008A1887">
      <w:pPr>
        <w:pStyle w:val="Paragraph"/>
      </w:pPr>
      <w:r w:rsidRPr="008A1887">
        <w:t>Factor #4 – The remaining useful life on existing source subject to such requirements</w:t>
      </w:r>
    </w:p>
    <w:p w14:paraId="0FCA5BC9" w14:textId="7D354237" w:rsidR="00893351" w:rsidRPr="008A1887" w:rsidRDefault="00893351" w:rsidP="008A1887">
      <w:pPr>
        <w:pStyle w:val="Paragraph"/>
        <w:ind w:left="720"/>
      </w:pPr>
      <w:r w:rsidRPr="008A1887">
        <w:lastRenderedPageBreak/>
        <w:t>US Oil did not indicate that any of the equipment had a limited lifetime</w:t>
      </w:r>
    </w:p>
    <w:p w14:paraId="73ED2399" w14:textId="76E09C60" w:rsidR="008160ED" w:rsidRPr="00854163" w:rsidRDefault="00893351" w:rsidP="008A1887">
      <w:pPr>
        <w:pStyle w:val="Paragraph"/>
        <w:rPr>
          <w:rFonts w:cstheme="minorHAnsi"/>
        </w:rPr>
      </w:pPr>
      <w:r w:rsidRPr="008A1887">
        <w:t>Future rule development will follow the RACT process.</w:t>
      </w:r>
    </w:p>
    <w:sectPr w:rsidR="008160ED" w:rsidRPr="00854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7086E" w14:textId="77777777" w:rsidR="009901CB" w:rsidRDefault="009901CB" w:rsidP="00C6256A">
      <w:pPr>
        <w:spacing w:after="0"/>
      </w:pPr>
      <w:r>
        <w:separator/>
      </w:r>
    </w:p>
  </w:endnote>
  <w:endnote w:type="continuationSeparator" w:id="0">
    <w:p w14:paraId="7A0CB553" w14:textId="77777777" w:rsidR="009901CB" w:rsidRDefault="009901CB" w:rsidP="00C6256A">
      <w:pPr>
        <w:spacing w:after="0"/>
      </w:pPr>
      <w:r>
        <w:continuationSeparator/>
      </w:r>
    </w:p>
  </w:endnote>
  <w:endnote w:type="continuationNotice" w:id="1">
    <w:p w14:paraId="78825999" w14:textId="77777777" w:rsidR="009901CB" w:rsidRDefault="00990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2B15" w14:textId="77777777" w:rsidR="00284C18" w:rsidRDefault="00284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2FA3C" w14:textId="19BCE262" w:rsidR="00284C18" w:rsidRDefault="00284C18">
    <w:pPr>
      <w:pStyle w:val="Footer"/>
    </w:pPr>
    <w:r>
      <w:ptab w:relativeTo="margin" w:alignment="center" w:leader="none"/>
    </w:r>
    <w:r>
      <w:t>Draft Document</w:t>
    </w:r>
    <w:r>
      <w:ptab w:relativeTo="margin" w:alignment="right" w:leader="none"/>
    </w:r>
    <w:r>
      <w:t xml:space="preserve">Page </w:t>
    </w:r>
    <w:r>
      <w:fldChar w:fldCharType="begin"/>
    </w:r>
    <w:r>
      <w:instrText xml:space="preserve"> PAGE   \* MERGEFORMAT </w:instrText>
    </w:r>
    <w:r>
      <w:fldChar w:fldCharType="separate"/>
    </w:r>
    <w:r w:rsidR="00120E26">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407CC" w14:textId="77777777" w:rsidR="00284C18" w:rsidRDefault="0028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99ED4" w14:textId="77777777" w:rsidR="009901CB" w:rsidRDefault="009901CB" w:rsidP="00C6256A">
      <w:pPr>
        <w:spacing w:after="0"/>
      </w:pPr>
      <w:r>
        <w:separator/>
      </w:r>
    </w:p>
  </w:footnote>
  <w:footnote w:type="continuationSeparator" w:id="0">
    <w:p w14:paraId="0E4A836F" w14:textId="77777777" w:rsidR="009901CB" w:rsidRDefault="009901CB" w:rsidP="00C6256A">
      <w:pPr>
        <w:spacing w:after="0"/>
      </w:pPr>
      <w:r>
        <w:continuationSeparator/>
      </w:r>
    </w:p>
  </w:footnote>
  <w:footnote w:type="continuationNotice" w:id="1">
    <w:p w14:paraId="46281779" w14:textId="77777777" w:rsidR="009901CB" w:rsidRDefault="009901CB">
      <w:pPr>
        <w:spacing w:after="0"/>
      </w:pPr>
    </w:p>
  </w:footnote>
  <w:footnote w:id="2">
    <w:p w14:paraId="4574C0C1" w14:textId="2CDC90AB" w:rsidR="00284C18" w:rsidRDefault="00284C18">
      <w:pPr>
        <w:pStyle w:val="FootnoteText"/>
      </w:pPr>
      <w:r>
        <w:rPr>
          <w:rStyle w:val="FootnoteReference"/>
        </w:rPr>
        <w:footnoteRef/>
      </w:r>
      <w:r>
        <w:t xml:space="preserve"> “</w:t>
      </w:r>
      <w:r w:rsidRPr="0014232A">
        <w:t>Reasonab</w:t>
      </w:r>
      <w:r>
        <w:t>ly available control technology”</w:t>
      </w:r>
      <w:r w:rsidRPr="0014232A">
        <w:t xml:space="preserve">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r>
        <w:t>. RCW 70A.15.1030(20)</w:t>
      </w:r>
    </w:p>
  </w:footnote>
  <w:footnote w:id="3">
    <w:p w14:paraId="72AE9434" w14:textId="77777777" w:rsidR="00284C18" w:rsidRPr="006559A2" w:rsidRDefault="00284C18" w:rsidP="0028558A">
      <w:pPr>
        <w:pStyle w:val="FootnoteText"/>
        <w:rPr>
          <w:rFonts w:asciiTheme="minorHAnsi" w:hAnsiTheme="minorHAnsi" w:cstheme="minorHAnsi"/>
        </w:rPr>
      </w:pPr>
      <w:r w:rsidRPr="006559A2">
        <w:rPr>
          <w:rStyle w:val="FootnoteReference"/>
          <w:rFonts w:asciiTheme="minorHAnsi" w:hAnsiTheme="minorHAnsi" w:cstheme="minorHAnsi"/>
        </w:rPr>
        <w:footnoteRef/>
      </w:r>
      <w:r w:rsidRPr="006559A2">
        <w:rPr>
          <w:rFonts w:asciiTheme="minorHAnsi" w:hAnsiTheme="minorHAnsi" w:cstheme="minorHAnsi"/>
        </w:rPr>
        <w:t xml:space="preserve"> Two options were removed because they included outdated interest rates or equipment useful life values inconsistent with EPA’s current cost manual approach based on conversations between Ecology, other EPA Region 10 states </w:t>
      </w:r>
      <w:r>
        <w:rPr>
          <w:rFonts w:asciiTheme="minorHAnsi" w:hAnsiTheme="minorHAnsi" w:cstheme="minorHAnsi"/>
        </w:rPr>
        <w:t>RH</w:t>
      </w:r>
      <w:r w:rsidRPr="006559A2">
        <w:rPr>
          <w:rFonts w:asciiTheme="minorHAnsi" w:hAnsiTheme="minorHAnsi" w:cstheme="minorHAnsi"/>
        </w:rPr>
        <w:t xml:space="preserve"> staff, and EPA. May 7, 2020; August 11, 2020. </w:t>
      </w:r>
    </w:p>
  </w:footnote>
  <w:footnote w:id="4">
    <w:p w14:paraId="157019DB" w14:textId="77777777" w:rsidR="00284C18" w:rsidRPr="006559A2" w:rsidRDefault="00284C18" w:rsidP="00737498">
      <w:pPr>
        <w:pStyle w:val="NoSpacing"/>
        <w:rPr>
          <w:rFonts w:asciiTheme="minorHAnsi" w:hAnsiTheme="minorHAnsi" w:cstheme="minorHAnsi"/>
          <w:sz w:val="20"/>
          <w:szCs w:val="20"/>
        </w:rPr>
      </w:pPr>
      <w:r w:rsidRPr="006559A2">
        <w:rPr>
          <w:rStyle w:val="FootnoteReference"/>
          <w:rFonts w:asciiTheme="minorHAnsi" w:hAnsiTheme="minorHAnsi" w:cstheme="minorHAnsi"/>
          <w:sz w:val="20"/>
          <w:szCs w:val="20"/>
        </w:rPr>
        <w:footnoteRef/>
      </w:r>
      <w:r w:rsidRPr="006559A2">
        <w:rPr>
          <w:rFonts w:asciiTheme="minorHAnsi" w:hAnsiTheme="minorHAnsi" w:cstheme="minorHAnsi"/>
          <w:sz w:val="20"/>
          <w:szCs w:val="20"/>
        </w:rPr>
        <w:t xml:space="preserve"> From the puzzlebook: </w:t>
      </w:r>
      <w:r>
        <w:rPr>
          <w:rFonts w:asciiTheme="minorHAnsi" w:hAnsiTheme="minorHAnsi" w:cstheme="minorHAnsi"/>
          <w:sz w:val="20"/>
          <w:szCs w:val="20"/>
        </w:rPr>
        <w:t>“</w:t>
      </w:r>
      <w:r w:rsidRPr="006559A2">
        <w:rPr>
          <w:rFonts w:asciiTheme="minorHAnsi" w:hAnsiTheme="minorHAnsi" w:cstheme="minorHAnsi"/>
          <w:sz w:val="20"/>
          <w:szCs w:val="20"/>
        </w:rPr>
        <w:t>Cost effectiveness is the dollars per ton of pollutant emissions reduced.</w:t>
      </w:r>
      <w:r>
        <w:rPr>
          <w:rFonts w:asciiTheme="minorHAnsi" w:hAnsiTheme="minorHAnsi" w:cstheme="minorHAnsi"/>
          <w:sz w:val="20"/>
          <w:szCs w:val="20"/>
        </w:rPr>
        <w:t>”</w:t>
      </w:r>
      <w:r w:rsidRPr="006559A2">
        <w:rPr>
          <w:rFonts w:asciiTheme="minorHAnsi" w:hAnsiTheme="minorHAnsi" w:cstheme="minorHAnsi"/>
          <w:sz w:val="20"/>
          <w:szCs w:val="20"/>
        </w:rPr>
        <w:t xml:space="preserve"> Ecology focuses on the average cost effectiveness</w:t>
      </w:r>
      <w:r>
        <w:rPr>
          <w:rFonts w:asciiTheme="minorHAnsi" w:hAnsiTheme="minorHAnsi" w:cstheme="minorHAnsi"/>
          <w:sz w:val="20"/>
          <w:szCs w:val="20"/>
        </w:rPr>
        <w:t xml:space="preserve"> (total annualized cost per ton of pollutant removed) more than the incremental costs between two control alternatives</w:t>
      </w:r>
      <w:r w:rsidRPr="006559A2">
        <w:rPr>
          <w:rFonts w:asciiTheme="minorHAnsi" w:hAnsiTheme="minorHAnsi" w:cstheme="minorHAnsi"/>
          <w:sz w:val="20"/>
          <w:szCs w:val="20"/>
        </w:rPr>
        <w:t>.</w:t>
      </w:r>
    </w:p>
  </w:footnote>
  <w:footnote w:id="5">
    <w:p w14:paraId="6997E8F1" w14:textId="77777777" w:rsidR="00284C18" w:rsidRDefault="00284C18" w:rsidP="00EC45CF">
      <w:pPr>
        <w:pStyle w:val="FootnoteText"/>
      </w:pPr>
      <w:r>
        <w:rPr>
          <w:rStyle w:val="FootnoteReference"/>
        </w:rPr>
        <w:footnoteRef/>
      </w:r>
      <w:r>
        <w:t xml:space="preserve"> </w:t>
      </w:r>
      <w:r w:rsidRPr="002B5547">
        <w:rPr>
          <w:rFonts w:asciiTheme="minorHAnsi" w:hAnsiTheme="minorHAnsi" w:cstheme="minorHAnsi"/>
        </w:rPr>
        <w:t>Maximum Achievable Control Technology.</w:t>
      </w:r>
    </w:p>
  </w:footnote>
  <w:footnote w:id="6">
    <w:p w14:paraId="03D04996" w14:textId="5A63B6E4" w:rsidR="00284C18" w:rsidRPr="006559A2" w:rsidRDefault="00284C18" w:rsidP="00EC45CF">
      <w:pPr>
        <w:pStyle w:val="NoSpacing"/>
        <w:rPr>
          <w:rFonts w:asciiTheme="minorHAnsi" w:hAnsiTheme="minorHAnsi" w:cstheme="minorHAnsi"/>
          <w:sz w:val="20"/>
          <w:szCs w:val="20"/>
        </w:rPr>
      </w:pPr>
      <w:r w:rsidRPr="006559A2">
        <w:rPr>
          <w:rStyle w:val="FootnoteReference"/>
          <w:rFonts w:asciiTheme="minorHAnsi" w:hAnsiTheme="minorHAnsi" w:cstheme="minorHAnsi"/>
          <w:sz w:val="20"/>
          <w:szCs w:val="20"/>
        </w:rPr>
        <w:footnoteRef/>
      </w:r>
      <w:r w:rsidRPr="006559A2">
        <w:rPr>
          <w:rFonts w:asciiTheme="minorHAnsi" w:hAnsiTheme="minorHAnsi" w:cstheme="minorHAnsi"/>
          <w:sz w:val="20"/>
          <w:szCs w:val="20"/>
        </w:rPr>
        <w:t xml:space="preserve"> Estimates based on </w:t>
      </w:r>
      <w:r>
        <w:rPr>
          <w:rFonts w:asciiTheme="minorHAnsi" w:hAnsiTheme="minorHAnsi" w:cstheme="minorHAnsi"/>
          <w:sz w:val="20"/>
          <w:szCs w:val="20"/>
        </w:rPr>
        <w:t>the first option</w:t>
      </w:r>
      <w:r w:rsidRPr="006559A2">
        <w:rPr>
          <w:rFonts w:asciiTheme="minorHAnsi" w:hAnsiTheme="minorHAnsi" w:cstheme="minorHAnsi"/>
          <w:sz w:val="20"/>
          <w:szCs w:val="20"/>
        </w:rPr>
        <w:t xml:space="preserve"> assumptions using 3.25% interest rate and 20 years remaining useful life for low-NOx burners, SNCRs, wet scrubbers, and ESPs (wet and dry), and 25 year remaining useful life for SCRs. </w:t>
      </w:r>
    </w:p>
  </w:footnote>
  <w:footnote w:id="7">
    <w:p w14:paraId="68A39F69" w14:textId="12F1DCF7" w:rsidR="00284C18" w:rsidRPr="006559A2" w:rsidRDefault="00284C18" w:rsidP="00EC45CF">
      <w:pPr>
        <w:pStyle w:val="NoSpacing"/>
        <w:rPr>
          <w:rFonts w:asciiTheme="minorHAnsi" w:hAnsiTheme="minorHAnsi" w:cstheme="minorHAnsi"/>
          <w:sz w:val="20"/>
          <w:szCs w:val="20"/>
        </w:rPr>
      </w:pPr>
      <w:r w:rsidRPr="006559A2">
        <w:rPr>
          <w:rStyle w:val="FootnoteReference"/>
          <w:rFonts w:asciiTheme="minorHAnsi" w:hAnsiTheme="minorHAnsi" w:cstheme="minorHAnsi"/>
          <w:sz w:val="20"/>
          <w:szCs w:val="20"/>
        </w:rPr>
        <w:footnoteRef/>
      </w:r>
      <w:r w:rsidRPr="006559A2">
        <w:rPr>
          <w:rFonts w:asciiTheme="minorHAnsi" w:hAnsiTheme="minorHAnsi" w:cstheme="minorHAnsi"/>
          <w:sz w:val="20"/>
          <w:szCs w:val="20"/>
        </w:rPr>
        <w:t xml:space="preserve"> </w:t>
      </w:r>
      <w:r w:rsidRPr="006559A2">
        <w:rPr>
          <w:rFonts w:asciiTheme="minorHAnsi" w:hAnsiTheme="minorHAnsi" w:cstheme="minorHAnsi"/>
          <w:color w:val="000000"/>
          <w:sz w:val="20"/>
          <w:szCs w:val="20"/>
        </w:rPr>
        <w:t>Washington Regional Haze Reasonably Available Control Technology Analysis for Pulp and Paper Mills</w:t>
      </w:r>
      <w:r>
        <w:rPr>
          <w:rFonts w:asciiTheme="minorHAnsi" w:hAnsiTheme="minorHAnsi" w:cstheme="minorHAnsi"/>
          <w:color w:val="000000"/>
          <w:sz w:val="20"/>
          <w:szCs w:val="20"/>
        </w:rPr>
        <w:t xml:space="preserve"> </w:t>
      </w:r>
    </w:p>
    <w:p w14:paraId="68276784" w14:textId="77777777" w:rsidR="00284C18" w:rsidRPr="006559A2" w:rsidRDefault="00284C18" w:rsidP="00EC45CF">
      <w:pPr>
        <w:pStyle w:val="NoSpacing"/>
        <w:rPr>
          <w:rFonts w:asciiTheme="minorHAnsi" w:hAnsiTheme="minorHAnsi" w:cstheme="minorHAnsi"/>
          <w:sz w:val="20"/>
          <w:szCs w:val="20"/>
        </w:rPr>
      </w:pPr>
      <w:r w:rsidRPr="006559A2">
        <w:rPr>
          <w:rFonts w:asciiTheme="minorHAnsi" w:hAnsiTheme="minorHAnsi" w:cstheme="minorHAnsi"/>
          <w:color w:val="000000"/>
          <w:sz w:val="20"/>
          <w:szCs w:val="20"/>
        </w:rPr>
        <w:t xml:space="preserve"> November 2016, Publication no. 16-02-023 p. 6. </w:t>
      </w:r>
    </w:p>
  </w:footnote>
  <w:footnote w:id="8">
    <w:p w14:paraId="4ABB3421" w14:textId="77777777" w:rsidR="00284C18" w:rsidRPr="006559A2" w:rsidRDefault="00284C18" w:rsidP="00EC45CF">
      <w:pPr>
        <w:pStyle w:val="NoSpacing"/>
        <w:rPr>
          <w:rFonts w:asciiTheme="minorHAnsi" w:hAnsiTheme="minorHAnsi" w:cstheme="minorHAnsi"/>
        </w:rPr>
      </w:pPr>
      <w:r w:rsidRPr="006559A2">
        <w:rPr>
          <w:rStyle w:val="FootnoteReference"/>
          <w:rFonts w:asciiTheme="minorHAnsi" w:hAnsiTheme="minorHAnsi" w:cstheme="minorHAnsi"/>
          <w:sz w:val="20"/>
          <w:szCs w:val="20"/>
        </w:rPr>
        <w:footnoteRef/>
      </w:r>
      <w:r w:rsidRPr="006559A2">
        <w:rPr>
          <w:rFonts w:asciiTheme="minorHAnsi" w:hAnsiTheme="minorHAnsi" w:cstheme="minorHAnsi"/>
          <w:sz w:val="20"/>
          <w:szCs w:val="20"/>
        </w:rPr>
        <w:t xml:space="preserve"> Chapter 173-485 WAC (</w:t>
      </w:r>
      <w:r w:rsidRPr="006559A2">
        <w:rPr>
          <w:rFonts w:asciiTheme="minorHAnsi" w:hAnsiTheme="minorHAnsi" w:cstheme="minorHAnsi"/>
          <w:bCs/>
          <w:sz w:val="20"/>
          <w:szCs w:val="20"/>
        </w:rPr>
        <w:t>Last Update: 5/28/14</w:t>
      </w:r>
      <w:r w:rsidRPr="006559A2">
        <w:rPr>
          <w:rFonts w:asciiTheme="minorHAnsi" w:hAnsiTheme="minorHAnsi" w:cstheme="minorHAnsi"/>
          <w:sz w:val="20"/>
          <w:szCs w:val="20"/>
        </w:rPr>
        <w:t>).</w:t>
      </w:r>
    </w:p>
  </w:footnote>
  <w:footnote w:id="9">
    <w:p w14:paraId="7EF20E92" w14:textId="5ACE878F" w:rsidR="00284C18" w:rsidRDefault="00284C18">
      <w:pPr>
        <w:pStyle w:val="FootnoteText"/>
      </w:pPr>
      <w:r>
        <w:rPr>
          <w:rStyle w:val="FootnoteReference"/>
        </w:rPr>
        <w:footnoteRef/>
      </w:r>
      <w:r>
        <w:t xml:space="preserve"> Sometimes referred to as a “C-grade, “ RACT is less stringent that BACT and LEAR </w:t>
      </w:r>
      <w:r w:rsidRPr="00EC45CF">
        <w:t>except possibly when addressing non-attainment areas, or other specific circumstances such as meeting MACT compliance</w:t>
      </w:r>
    </w:p>
  </w:footnote>
  <w:footnote w:id="10">
    <w:p w14:paraId="2B6E82AE" w14:textId="43CDE671" w:rsidR="00284C18" w:rsidRDefault="00284C18">
      <w:pPr>
        <w:pStyle w:val="FootnoteText"/>
      </w:pPr>
      <w:r>
        <w:rPr>
          <w:rStyle w:val="FootnoteReference"/>
        </w:rPr>
        <w:footnoteRef/>
      </w:r>
      <w:r>
        <w:t xml:space="preserve"> In some cases, BACT can be at a LEAR level of control such as when addressing non-attainment areas.</w:t>
      </w:r>
    </w:p>
  </w:footnote>
  <w:footnote w:id="11">
    <w:p w14:paraId="0ACBB587" w14:textId="77777777" w:rsidR="00284C18" w:rsidRPr="006559A2" w:rsidRDefault="00284C18" w:rsidP="00EC45CF">
      <w:pPr>
        <w:pStyle w:val="FootnoteText"/>
        <w:rPr>
          <w:rFonts w:asciiTheme="minorHAnsi" w:hAnsiTheme="minorHAnsi" w:cstheme="minorHAnsi"/>
        </w:rPr>
      </w:pPr>
      <w:r w:rsidRPr="006559A2">
        <w:rPr>
          <w:rStyle w:val="FootnoteReference"/>
          <w:rFonts w:asciiTheme="minorHAnsi" w:hAnsiTheme="minorHAnsi" w:cstheme="minorHAnsi"/>
        </w:rPr>
        <w:footnoteRef/>
      </w:r>
      <w:r w:rsidRPr="006559A2">
        <w:rPr>
          <w:rFonts w:asciiTheme="minorHAnsi" w:hAnsiTheme="minorHAnsi" w:cstheme="minorHAnsi"/>
        </w:rPr>
        <w:t xml:space="preserve"> Conversation between Ecology and EPA. December 5, 2019.</w:t>
      </w:r>
    </w:p>
  </w:footnote>
  <w:footnote w:id="12">
    <w:p w14:paraId="40A48E05" w14:textId="7452A9D9" w:rsidR="00284C18" w:rsidRPr="006559A2" w:rsidRDefault="00284C18" w:rsidP="00EC45CF">
      <w:pPr>
        <w:pStyle w:val="FootnoteText"/>
        <w:rPr>
          <w:rFonts w:asciiTheme="minorHAnsi" w:hAnsiTheme="minorHAnsi" w:cstheme="minorHAnsi"/>
        </w:rPr>
      </w:pPr>
      <w:r w:rsidRPr="006559A2">
        <w:rPr>
          <w:rStyle w:val="FootnoteReference"/>
          <w:rFonts w:asciiTheme="minorHAnsi" w:hAnsiTheme="minorHAnsi" w:cstheme="minorHAnsi"/>
        </w:rPr>
        <w:footnoteRef/>
      </w:r>
      <w:r w:rsidRPr="006559A2">
        <w:rPr>
          <w:rFonts w:asciiTheme="minorHAnsi" w:hAnsiTheme="minorHAnsi" w:cstheme="minorHAnsi"/>
        </w:rPr>
        <w:t xml:space="preserve"> </w:t>
      </w:r>
      <w:r>
        <w:rPr>
          <w:rFonts w:asciiTheme="minorHAnsi" w:hAnsiTheme="minorHAnsi" w:cstheme="minorHAnsi"/>
        </w:rPr>
        <w:t>This threshold was mentioned in c</w:t>
      </w:r>
      <w:r w:rsidRPr="006559A2">
        <w:rPr>
          <w:rFonts w:asciiTheme="minorHAnsi" w:hAnsiTheme="minorHAnsi" w:cstheme="minorHAnsi"/>
        </w:rPr>
        <w:t>onversation</w:t>
      </w:r>
      <w:r>
        <w:rPr>
          <w:rFonts w:asciiTheme="minorHAnsi" w:hAnsiTheme="minorHAnsi" w:cstheme="minorHAnsi"/>
        </w:rPr>
        <w:t>s</w:t>
      </w:r>
      <w:r w:rsidRPr="006559A2">
        <w:rPr>
          <w:rFonts w:asciiTheme="minorHAnsi" w:hAnsiTheme="minorHAnsi" w:cstheme="minorHAnsi"/>
        </w:rPr>
        <w:t xml:space="preserve"> between Ecology, other EPA Region 10 states </w:t>
      </w:r>
      <w:r>
        <w:rPr>
          <w:rFonts w:asciiTheme="minorHAnsi" w:hAnsiTheme="minorHAnsi" w:cstheme="minorHAnsi"/>
        </w:rPr>
        <w:t>RH</w:t>
      </w:r>
      <w:r w:rsidRPr="006559A2">
        <w:rPr>
          <w:rFonts w:asciiTheme="minorHAnsi" w:hAnsiTheme="minorHAnsi" w:cstheme="minorHAnsi"/>
        </w:rPr>
        <w:t xml:space="preserve"> staff, and EPA. May 7, 2020.</w:t>
      </w:r>
      <w:r>
        <w:rPr>
          <w:rFonts w:asciiTheme="minorHAnsi" w:hAnsiTheme="minorHAnsi" w:cstheme="minorHAnsi"/>
        </w:rPr>
        <w:t xml:space="preserve"> EPA noted during that conversation, that it is outdated.</w:t>
      </w:r>
    </w:p>
  </w:footnote>
  <w:footnote w:id="13">
    <w:p w14:paraId="03E91A28" w14:textId="2082BEA3" w:rsidR="00284C18" w:rsidRDefault="00284C18" w:rsidP="00EC45CF">
      <w:pPr>
        <w:pStyle w:val="FootnoteText"/>
      </w:pPr>
      <w:r>
        <w:rPr>
          <w:rStyle w:val="FootnoteReference"/>
        </w:rPr>
        <w:footnoteRef/>
      </w:r>
      <w:r>
        <w:t xml:space="preserve"> Similar to RACT costs in non-attainment areas, RACT costs for MACT compliance are not necessarily the type of RACT costs applicable to RH. In non-attainment areas, RACT costs could rise to the level of LEAR, where cost is less of a factor. In MACT compliance, RACT costs could also be elevated and be applicable to a specific facility rather than all similar facilities if those other facilities are already meeting that specific MACT requirement. </w:t>
      </w:r>
    </w:p>
  </w:footnote>
  <w:footnote w:id="14">
    <w:p w14:paraId="209D16D2" w14:textId="797DC628" w:rsidR="00284C18" w:rsidRPr="006559A2" w:rsidRDefault="00284C18" w:rsidP="00EC45CF">
      <w:pPr>
        <w:pStyle w:val="FootnoteText"/>
        <w:rPr>
          <w:rFonts w:asciiTheme="minorHAnsi" w:hAnsiTheme="minorHAnsi" w:cstheme="minorHAnsi"/>
        </w:rPr>
      </w:pPr>
      <w:r w:rsidRPr="006559A2">
        <w:rPr>
          <w:rStyle w:val="FootnoteReference"/>
          <w:rFonts w:asciiTheme="minorHAnsi" w:hAnsiTheme="minorHAnsi" w:cstheme="minorHAnsi"/>
        </w:rPr>
        <w:footnoteRef/>
      </w:r>
      <w:r w:rsidRPr="006559A2">
        <w:rPr>
          <w:rFonts w:asciiTheme="minorHAnsi" w:hAnsiTheme="minorHAnsi" w:cstheme="minorHAnsi"/>
        </w:rPr>
        <w:t xml:space="preserve"> This estimate assumes </w:t>
      </w:r>
      <w:r>
        <w:rPr>
          <w:rFonts w:asciiTheme="minorHAnsi" w:hAnsiTheme="minorHAnsi" w:cstheme="minorHAnsi"/>
        </w:rPr>
        <w:t>that adding a</w:t>
      </w:r>
      <w:r w:rsidRPr="006559A2">
        <w:rPr>
          <w:rFonts w:asciiTheme="minorHAnsi" w:hAnsiTheme="minorHAnsi" w:cstheme="minorHAnsi"/>
        </w:rPr>
        <w:t xml:space="preserve"> WESP can achieve 80% reduction. A 2020 vendor quote for Cosmo by B&amp;W (Babcock &amp; Wilcox; March 27, 2020) was based on approximately 56% reduction. The vendor assumed 56% reduction based on facility specific conditions at Cosmo. This includes a particle size range of 0.1 to 0.5 micrometers where removal efficiencies decrease due to lack of charge saturation (more effective above 0.7 microns), and lack of diffusion (more effective below 0.3 microns). References: “Applied Electrostatic Precipitation” (Parker, K.R. Nov 1996); “Control of reclamation (sinter) Plant Emissions using Electrostatic Precipitators” and Scarfing Machine Wet Electrostatic Precipitator Design Characteristics” (Varga, J. Jr. Jan and Mar 1976). </w:t>
      </w:r>
    </w:p>
  </w:footnote>
  <w:footnote w:id="15">
    <w:p w14:paraId="45814929" w14:textId="77777777" w:rsidR="00284C18" w:rsidRPr="006559A2" w:rsidRDefault="00284C18" w:rsidP="00EC45CF">
      <w:pPr>
        <w:pStyle w:val="FootnoteText"/>
        <w:rPr>
          <w:rFonts w:asciiTheme="minorHAnsi" w:hAnsiTheme="minorHAnsi" w:cstheme="minorHAnsi"/>
        </w:rPr>
      </w:pPr>
      <w:r w:rsidRPr="006559A2">
        <w:rPr>
          <w:rStyle w:val="FootnoteReference"/>
          <w:rFonts w:asciiTheme="minorHAnsi" w:hAnsiTheme="minorHAnsi" w:cstheme="minorHAnsi"/>
        </w:rPr>
        <w:footnoteRef/>
      </w:r>
      <w:r w:rsidRPr="006559A2">
        <w:rPr>
          <w:rFonts w:asciiTheme="minorHAnsi" w:hAnsiTheme="minorHAnsi" w:cstheme="minorHAnsi"/>
        </w:rPr>
        <w:t xml:space="preserve"> Cosmo is currently in curtailment for the 2</w:t>
      </w:r>
      <w:r w:rsidRPr="006559A2">
        <w:rPr>
          <w:rFonts w:asciiTheme="minorHAnsi" w:hAnsiTheme="minorHAnsi" w:cstheme="minorHAnsi"/>
          <w:vertAlign w:val="superscript"/>
        </w:rPr>
        <w:t>nd</w:t>
      </w:r>
      <w:r w:rsidRPr="006559A2">
        <w:rPr>
          <w:rFonts w:asciiTheme="minorHAnsi" w:hAnsiTheme="minorHAnsi" w:cstheme="minorHAnsi"/>
        </w:rPr>
        <w:t xml:space="preserve"> time in the last 15 years. Estimated costs ($8,918/ton) assuming 80% reduction and emissions equal to the last 15 year facility average; or estimated costs ($12,740/ton) using vendor quoted reductions at 56% and a 15 year average, are both above the upper RACT cost threshold ($7,800).</w:t>
      </w:r>
    </w:p>
  </w:footnote>
  <w:footnote w:id="16">
    <w:p w14:paraId="0BE07FB1" w14:textId="490F431F" w:rsidR="00284C18" w:rsidRPr="002D53B5" w:rsidRDefault="00284C18" w:rsidP="00EC45CF">
      <w:pPr>
        <w:pStyle w:val="NoSpacing"/>
        <w:rPr>
          <w:rFonts w:asciiTheme="minorHAnsi" w:hAnsiTheme="minorHAnsi" w:cstheme="minorHAnsi"/>
          <w:sz w:val="20"/>
          <w:szCs w:val="20"/>
        </w:rPr>
      </w:pPr>
      <w:r w:rsidRPr="002D53B5">
        <w:rPr>
          <w:rStyle w:val="FootnoteReference"/>
          <w:rFonts w:asciiTheme="minorHAnsi" w:hAnsiTheme="minorHAnsi" w:cstheme="minorHAnsi"/>
          <w:sz w:val="20"/>
          <w:szCs w:val="20"/>
        </w:rPr>
        <w:footnoteRef/>
      </w:r>
      <w:r w:rsidRPr="002D53B5">
        <w:rPr>
          <w:rFonts w:asciiTheme="minorHAnsi" w:hAnsiTheme="minorHAnsi" w:cstheme="minorHAnsi"/>
          <w:sz w:val="20"/>
          <w:szCs w:val="20"/>
        </w:rPr>
        <w:t xml:space="preserve"> Ecology used a Q (quantity of </w:t>
      </w:r>
      <w:r>
        <w:rPr>
          <w:rFonts w:asciiTheme="minorHAnsi" w:hAnsiTheme="minorHAnsi" w:cstheme="minorHAnsi"/>
          <w:sz w:val="20"/>
          <w:szCs w:val="20"/>
        </w:rPr>
        <w:t>RH</w:t>
      </w:r>
      <w:r w:rsidRPr="002D53B5">
        <w:rPr>
          <w:rFonts w:asciiTheme="minorHAnsi" w:hAnsiTheme="minorHAnsi" w:cstheme="minorHAnsi"/>
          <w:sz w:val="20"/>
          <w:szCs w:val="20"/>
        </w:rPr>
        <w:t xml:space="preserve"> emissions) divided by d (distance to Class I areas) analysis from the FLMs 2010 FLAG manual to determine which facilities to focus on for this implementation period. While </w:t>
      </w:r>
      <w:r>
        <w:rPr>
          <w:rFonts w:asciiTheme="minorHAnsi" w:hAnsiTheme="minorHAnsi" w:cstheme="minorHAnsi"/>
          <w:sz w:val="20"/>
          <w:szCs w:val="20"/>
        </w:rPr>
        <w:t>the manual requires that</w:t>
      </w:r>
      <w:r w:rsidRPr="002D53B5">
        <w:rPr>
          <w:rFonts w:asciiTheme="minorHAnsi" w:hAnsiTheme="minorHAnsi" w:cstheme="minorHAnsi"/>
          <w:sz w:val="20"/>
          <w:szCs w:val="20"/>
        </w:rPr>
        <w:t xml:space="preserve"> Q/D include only maximum hourly increases from specific projects when applied to New Source Review, it can be used for entire facility emissions as a starting point for </w:t>
      </w:r>
      <w:r>
        <w:rPr>
          <w:rFonts w:asciiTheme="minorHAnsi" w:hAnsiTheme="minorHAnsi" w:cstheme="minorHAnsi"/>
          <w:sz w:val="20"/>
          <w:szCs w:val="20"/>
        </w:rPr>
        <w:t>RHR</w:t>
      </w:r>
      <w:r w:rsidRPr="002D53B5">
        <w:rPr>
          <w:rFonts w:asciiTheme="minorHAnsi" w:hAnsiTheme="minorHAnsi" w:cstheme="minorHAnsi"/>
          <w:sz w:val="20"/>
          <w:szCs w:val="20"/>
        </w:rPr>
        <w:t xml:space="preserve"> applications (outside of NSR).</w:t>
      </w:r>
    </w:p>
  </w:footnote>
  <w:footnote w:id="17">
    <w:p w14:paraId="3E8F5BF4" w14:textId="2011B9EF" w:rsidR="00284C18" w:rsidRPr="00535857" w:rsidRDefault="00284C18" w:rsidP="00EC45CF">
      <w:pPr>
        <w:pStyle w:val="FootnoteText"/>
        <w:rPr>
          <w:rFonts w:asciiTheme="minorHAnsi" w:hAnsiTheme="minorHAnsi" w:cstheme="minorHAnsi"/>
        </w:rPr>
      </w:pPr>
      <w:r w:rsidRPr="00535857">
        <w:rPr>
          <w:rStyle w:val="FootnoteReference"/>
          <w:rFonts w:asciiTheme="minorHAnsi" w:hAnsiTheme="minorHAnsi" w:cstheme="minorHAnsi"/>
        </w:rPr>
        <w:footnoteRef/>
      </w:r>
      <w:r w:rsidRPr="00535857">
        <w:rPr>
          <w:rFonts w:asciiTheme="minorHAnsi" w:hAnsiTheme="minorHAnsi" w:cstheme="minorHAnsi"/>
        </w:rPr>
        <w:t xml:space="preserve"> </w:t>
      </w:r>
      <w:r>
        <w:rPr>
          <w:rFonts w:asciiTheme="minorHAnsi" w:hAnsiTheme="minorHAnsi" w:cstheme="minorHAnsi"/>
        </w:rPr>
        <w:t>The National Park Service (</w:t>
      </w:r>
      <w:r w:rsidRPr="00535857">
        <w:rPr>
          <w:rFonts w:asciiTheme="minorHAnsi" w:hAnsiTheme="minorHAnsi" w:cstheme="minorHAnsi"/>
        </w:rPr>
        <w:t>NPS</w:t>
      </w:r>
      <w:r>
        <w:rPr>
          <w:rFonts w:asciiTheme="minorHAnsi" w:hAnsiTheme="minorHAnsi" w:cstheme="minorHAnsi"/>
        </w:rPr>
        <w:t>)</w:t>
      </w:r>
      <w:r w:rsidRPr="00535857">
        <w:rPr>
          <w:rFonts w:asciiTheme="minorHAnsi" w:hAnsiTheme="minorHAnsi" w:cstheme="minorHAnsi"/>
        </w:rPr>
        <w:t xml:space="preserve"> issued an Adverse Impact Determination for the BP refinery during the comment period of the 2016 BP Coker Heater Replacement Project PSD permit. NPS also noted contributions of </w:t>
      </w:r>
      <w:r>
        <w:rPr>
          <w:rFonts w:asciiTheme="minorHAnsi" w:hAnsiTheme="minorHAnsi" w:cstheme="minorHAnsi"/>
        </w:rPr>
        <w:t>RH</w:t>
      </w:r>
      <w:r w:rsidRPr="00535857">
        <w:rPr>
          <w:rFonts w:asciiTheme="minorHAnsi" w:hAnsiTheme="minorHAnsi" w:cstheme="minorHAnsi"/>
        </w:rPr>
        <w:t xml:space="preserve"> from the Tesoro refinery during the comment period of the 2017 Tesoro Clean Products Upgrade Project (CPUP) PSD permit.</w:t>
      </w:r>
    </w:p>
  </w:footnote>
  <w:footnote w:id="18">
    <w:p w14:paraId="1CC77164" w14:textId="71B91F15" w:rsidR="00284C18" w:rsidRPr="00535857" w:rsidRDefault="00284C18" w:rsidP="00EC45CF">
      <w:pPr>
        <w:pStyle w:val="FootnoteText"/>
        <w:rPr>
          <w:rFonts w:asciiTheme="minorHAnsi" w:hAnsiTheme="minorHAnsi" w:cstheme="minorHAnsi"/>
        </w:rPr>
      </w:pPr>
      <w:r w:rsidRPr="00535857">
        <w:rPr>
          <w:rStyle w:val="FootnoteReference"/>
          <w:rFonts w:asciiTheme="minorHAnsi" w:hAnsiTheme="minorHAnsi" w:cstheme="minorHAnsi"/>
        </w:rPr>
        <w:footnoteRef/>
      </w:r>
      <w:r w:rsidRPr="00535857">
        <w:rPr>
          <w:rFonts w:asciiTheme="minorHAnsi" w:hAnsiTheme="minorHAnsi" w:cstheme="minorHAnsi"/>
        </w:rPr>
        <w:t xml:space="preserve"> Based on Ecology’s Q/d analysis, Ecology is reviewing approximately 20 facilities from 8 different industries for </w:t>
      </w:r>
      <w:r>
        <w:rPr>
          <w:rFonts w:asciiTheme="minorHAnsi" w:hAnsiTheme="minorHAnsi" w:cstheme="minorHAnsi"/>
        </w:rPr>
        <w:t>RH</w:t>
      </w:r>
      <w:r w:rsidRPr="00535857">
        <w:rPr>
          <w:rFonts w:asciiTheme="minorHAnsi" w:hAnsiTheme="minorHAnsi" w:cstheme="minorHAnsi"/>
        </w:rPr>
        <w:t xml:space="preserve"> reductions during this current implementation period.</w:t>
      </w:r>
    </w:p>
  </w:footnote>
  <w:footnote w:id="19">
    <w:p w14:paraId="2A55C353" w14:textId="77777777" w:rsidR="00284C18" w:rsidRPr="006559A2" w:rsidRDefault="00284C18" w:rsidP="00EC45CF">
      <w:pPr>
        <w:pStyle w:val="FootnoteText"/>
        <w:rPr>
          <w:rFonts w:asciiTheme="minorHAnsi" w:hAnsiTheme="minorHAnsi" w:cstheme="minorHAnsi"/>
        </w:rPr>
      </w:pPr>
      <w:r w:rsidRPr="006559A2">
        <w:rPr>
          <w:rStyle w:val="FootnoteReference"/>
          <w:rFonts w:asciiTheme="minorHAnsi" w:hAnsiTheme="minorHAnsi" w:cstheme="minorHAnsi"/>
        </w:rPr>
        <w:footnoteRef/>
      </w:r>
      <w:r w:rsidRPr="006559A2">
        <w:rPr>
          <w:rFonts w:asciiTheme="minorHAnsi" w:hAnsiTheme="minorHAnsi" w:cstheme="minorHAnsi"/>
        </w:rPr>
        <w:t xml:space="preserve"> Emissions listed in figure 1 for the year 2019 include Cosmo, which operated the full year. Estimates for the year 2021 consider </w:t>
      </w:r>
      <w:r>
        <w:rPr>
          <w:rFonts w:asciiTheme="minorHAnsi" w:hAnsiTheme="minorHAnsi" w:cstheme="minorHAnsi"/>
        </w:rPr>
        <w:t>possible</w:t>
      </w:r>
      <w:r w:rsidRPr="006559A2">
        <w:rPr>
          <w:rFonts w:asciiTheme="minorHAnsi" w:hAnsiTheme="minorHAnsi" w:cstheme="minorHAnsi"/>
        </w:rPr>
        <w:t xml:space="preserve"> extended curtailment at Cosmo (the previous curtailment at Cosmo lasted multiple years).</w:t>
      </w:r>
      <w:r>
        <w:rPr>
          <w:rFonts w:asciiTheme="minorHAnsi" w:hAnsiTheme="minorHAnsi" w:cstheme="minorHAnsi"/>
        </w:rPr>
        <w:t xml:space="preserve"> The figure includes emissions from GP Camas which was operating as a chemical pulp mill in 2016, but not in 2019. </w:t>
      </w:r>
    </w:p>
  </w:footnote>
  <w:footnote w:id="20">
    <w:p w14:paraId="37331142" w14:textId="77777777" w:rsidR="00284C18" w:rsidRDefault="00284C18" w:rsidP="00EC45CF">
      <w:pPr>
        <w:pStyle w:val="FootnoteText"/>
      </w:pPr>
      <w:r>
        <w:rPr>
          <w:rStyle w:val="FootnoteReference"/>
        </w:rPr>
        <w:footnoteRef/>
      </w:r>
      <w:r>
        <w:t xml:space="preserve"> Note: the majority of the 1,345 tpy reductions considered in the 2016 RACT analysis are not added to the 500-1,300 tpy reductions considered in this analysis because controls for these pollutants are not cost effective.</w:t>
      </w:r>
    </w:p>
  </w:footnote>
  <w:footnote w:id="21">
    <w:p w14:paraId="3D29DD1B" w14:textId="14DD2127" w:rsidR="00284C18" w:rsidRDefault="00284C18" w:rsidP="00EC45CF">
      <w:pPr>
        <w:pStyle w:val="FootnoteText"/>
      </w:pPr>
      <w:r>
        <w:rPr>
          <w:rStyle w:val="FootnoteReference"/>
        </w:rPr>
        <w:footnoteRef/>
      </w:r>
      <w:r>
        <w:t xml:space="preserve"> </w:t>
      </w:r>
      <w:r w:rsidRPr="006559A2">
        <w:rPr>
          <w:rFonts w:asciiTheme="minorHAnsi" w:hAnsiTheme="minorHAnsi" w:cstheme="minorHAnsi"/>
        </w:rPr>
        <w:t xml:space="preserve">Conversation between Ecology, other EPA Region 10 states </w:t>
      </w:r>
      <w:r>
        <w:rPr>
          <w:rFonts w:asciiTheme="minorHAnsi" w:hAnsiTheme="minorHAnsi" w:cstheme="minorHAnsi"/>
        </w:rPr>
        <w:t>RH</w:t>
      </w:r>
      <w:r w:rsidRPr="006559A2">
        <w:rPr>
          <w:rFonts w:asciiTheme="minorHAnsi" w:hAnsiTheme="minorHAnsi" w:cstheme="minorHAnsi"/>
        </w:rPr>
        <w:t xml:space="preserve"> staff, and EPA. May 7, 2020.</w:t>
      </w:r>
    </w:p>
  </w:footnote>
  <w:footnote w:id="22">
    <w:p w14:paraId="0A141D45" w14:textId="0109B6C8" w:rsidR="00284C18" w:rsidRPr="006559A2" w:rsidRDefault="00284C18" w:rsidP="00EC45CF">
      <w:pPr>
        <w:pStyle w:val="FootnoteText"/>
        <w:rPr>
          <w:rFonts w:asciiTheme="minorHAnsi" w:hAnsiTheme="minorHAnsi" w:cstheme="minorHAnsi"/>
        </w:rPr>
      </w:pPr>
      <w:r w:rsidRPr="006559A2">
        <w:rPr>
          <w:rStyle w:val="FootnoteReference"/>
          <w:rFonts w:asciiTheme="minorHAnsi" w:hAnsiTheme="minorHAnsi" w:cstheme="minorHAnsi"/>
        </w:rPr>
        <w:footnoteRef/>
      </w:r>
      <w:r w:rsidRPr="006559A2">
        <w:rPr>
          <w:rFonts w:asciiTheme="minorHAnsi" w:hAnsiTheme="minorHAnsi" w:cstheme="minorHAnsi"/>
        </w:rPr>
        <w:t xml:space="preserve"> </w:t>
      </w:r>
      <w:r w:rsidRPr="009C79C2">
        <w:rPr>
          <w:rFonts w:asciiTheme="minorHAnsi" w:hAnsiTheme="minorHAnsi" w:cstheme="minorHAnsi"/>
        </w:rPr>
        <w:t>https://www.valmet.com/globalassets/media/downloads/white-papers/power-and-recovery/recovery_boiler_scr_whitepaper.pdf</w:t>
      </w:r>
      <w:r w:rsidRPr="006559A2">
        <w:rPr>
          <w:rFonts w:asciiTheme="minorHAnsi" w:hAnsiTheme="minorHAnsi" w:cstheme="minorHAnsi"/>
        </w:rPr>
        <w:t xml:space="preserve"> July 2017</w:t>
      </w:r>
    </w:p>
  </w:footnote>
  <w:footnote w:id="23">
    <w:p w14:paraId="40B385FB" w14:textId="77777777" w:rsidR="00284C18" w:rsidRDefault="00284C18" w:rsidP="00EC45CF">
      <w:pPr>
        <w:pStyle w:val="FootnoteText"/>
      </w:pPr>
      <w:r w:rsidRPr="006559A2">
        <w:rPr>
          <w:rStyle w:val="FootnoteReference"/>
          <w:rFonts w:asciiTheme="minorHAnsi" w:hAnsiTheme="minorHAnsi" w:cstheme="minorHAnsi"/>
        </w:rPr>
        <w:footnoteRef/>
      </w:r>
      <w:r w:rsidRPr="006559A2">
        <w:rPr>
          <w:rFonts w:asciiTheme="minorHAnsi" w:hAnsiTheme="minorHAnsi" w:cstheme="minorHAnsi"/>
        </w:rPr>
        <w:t xml:space="preserve"> According to EPA, "Coarse particles, or the subset of PM10 that is larger than 2.5 μm, do not remain airborne as long and their spatial impact is typically limited because they tend to deposit on the ground downwind of emissions sources." Source: EPA: Report on the Environment https://www.epa.gov/roe/ Particulate Matter Emissions</w:t>
      </w:r>
    </w:p>
  </w:footnote>
  <w:footnote w:id="24">
    <w:p w14:paraId="102B46DE" w14:textId="2355C5FB" w:rsidR="00284C18" w:rsidRDefault="00284C18">
      <w:pPr>
        <w:pStyle w:val="FootnoteText"/>
      </w:pPr>
      <w:r>
        <w:rPr>
          <w:rStyle w:val="FootnoteReference"/>
        </w:rPr>
        <w:footnoteRef/>
      </w:r>
      <w:r>
        <w:t xml:space="preserve"> h</w:t>
      </w:r>
      <w:r w:rsidRPr="00644124">
        <w:t>ttps://www.doh.wa.gov/DataandStatisticalReports/WashingtonTrackingNetworkWTN/InformationbyLocation/WashingtonEnvironmentalHealthDisparitiesMap</w:t>
      </w:r>
    </w:p>
  </w:footnote>
  <w:footnote w:id="25">
    <w:p w14:paraId="63D84B2C" w14:textId="5196CDB5" w:rsidR="00284C18" w:rsidRDefault="00284C18">
      <w:pPr>
        <w:pStyle w:val="FootnoteText"/>
      </w:pPr>
      <w:r>
        <w:rPr>
          <w:rStyle w:val="FootnoteReference"/>
        </w:rPr>
        <w:footnoteRef/>
      </w:r>
      <w:r>
        <w:t xml:space="preserve"> </w:t>
      </w:r>
      <w:r w:rsidRPr="007421AC">
        <w:t>https://www.bp.com/en_us/united-states/home/where-we-operate/washington/cherry-point-refinery.html</w:t>
      </w:r>
    </w:p>
  </w:footnote>
  <w:footnote w:id="26">
    <w:p w14:paraId="107C2466" w14:textId="6F3A8E98" w:rsidR="00284C18" w:rsidRDefault="00284C18" w:rsidP="00644124">
      <w:r w:rsidRPr="00690FBC">
        <w:rPr>
          <w:rFonts w:asciiTheme="minorHAnsi" w:hAnsiTheme="minorHAnsi" w:cstheme="minorHAnsi"/>
          <w:sz w:val="20"/>
        </w:rPr>
        <w:footnoteRef/>
      </w:r>
      <w:r w:rsidRPr="00690FBC">
        <w:rPr>
          <w:rFonts w:asciiTheme="minorHAnsi" w:hAnsiTheme="minorHAnsi" w:cstheme="minorHAnsi"/>
          <w:sz w:val="20"/>
        </w:rPr>
        <w:t xml:space="preserve"> The safety regulation is Process Safety Management (PSM) </w:t>
      </w:r>
      <w:hyperlink r:id="rId1" w:history="1">
        <w:r w:rsidRPr="005478DE">
          <w:rPr>
            <w:rFonts w:asciiTheme="minorHAnsi" w:hAnsiTheme="minorHAnsi" w:cstheme="minorHAnsi"/>
            <w:sz w:val="20"/>
          </w:rPr>
          <w:t>https://www.osha.gov/Publications/OSHA3918.pdf</w:t>
        </w:r>
      </w:hyperlink>
    </w:p>
  </w:footnote>
  <w:footnote w:id="27">
    <w:p w14:paraId="1FE7668E" w14:textId="39B316E4" w:rsidR="00284C18" w:rsidRDefault="00284C18" w:rsidP="00644124">
      <w:pPr>
        <w:shd w:val="clear" w:color="auto" w:fill="FFFFFF"/>
        <w:spacing w:after="0"/>
        <w:outlineLvl w:val="0"/>
      </w:pPr>
      <w:r>
        <w:rPr>
          <w:rStyle w:val="FootnoteReference"/>
        </w:rPr>
        <w:footnoteRef/>
      </w:r>
      <w:r>
        <w:t xml:space="preserve"> </w:t>
      </w:r>
      <w:r w:rsidRPr="00644124">
        <w:rPr>
          <w:rFonts w:asciiTheme="minorHAnsi" w:hAnsiTheme="minorHAnsi" w:cstheme="minorHAnsi"/>
          <w:sz w:val="20"/>
        </w:rPr>
        <w:t xml:space="preserve">Cost Reports and Guidance for Air Pollution Regulations- Section 4 - NOx Controls spreadsheet: </w:t>
      </w:r>
      <w:hyperlink r:id="rId2" w:history="1">
        <w:r w:rsidRPr="00644124">
          <w:rPr>
            <w:rFonts w:asciiTheme="minorHAnsi" w:hAnsiTheme="minorHAnsi" w:cstheme="minorHAnsi"/>
            <w:sz w:val="20"/>
          </w:rPr>
          <w:t>https://www.epa.gov/economic-and-cost-analysis-air-pollution-regulations/cost-reports-and-guidance-air-pollution</w:t>
        </w:r>
      </w:hyperlink>
    </w:p>
  </w:footnote>
  <w:footnote w:id="28">
    <w:p w14:paraId="47B905A7" w14:textId="120D46E1" w:rsidR="00284C18" w:rsidRDefault="00284C18">
      <w:pPr>
        <w:pStyle w:val="FootnoteText"/>
      </w:pPr>
      <w:r>
        <w:rPr>
          <w:rStyle w:val="FootnoteReference"/>
        </w:rPr>
        <w:footnoteRef/>
      </w:r>
      <w:r>
        <w:t xml:space="preserve"> </w:t>
      </w:r>
      <w:r w:rsidRPr="0040662F">
        <w:t>https://www.phillips66.com/refining/ferndale-refinery</w:t>
      </w:r>
    </w:p>
  </w:footnote>
  <w:footnote w:id="29">
    <w:p w14:paraId="7793C367" w14:textId="4D583A72" w:rsidR="00284C18" w:rsidRDefault="00284C18">
      <w:pPr>
        <w:pStyle w:val="FootnoteText"/>
      </w:pPr>
      <w:r>
        <w:rPr>
          <w:rStyle w:val="FootnoteReference"/>
        </w:rPr>
        <w:footnoteRef/>
      </w:r>
      <w:r>
        <w:t xml:space="preserve"> </w:t>
      </w:r>
      <w:r w:rsidRPr="00FE41EA">
        <w:t>https://www.shell.us/about-us/projects-and-locations/puget-sound-refinery/about-shell-puget-sound-refinery.html</w:t>
      </w:r>
    </w:p>
  </w:footnote>
  <w:footnote w:id="30">
    <w:p w14:paraId="3F560E6E" w14:textId="267372FF" w:rsidR="00284C18" w:rsidRDefault="00284C18">
      <w:pPr>
        <w:pStyle w:val="FootnoteText"/>
      </w:pPr>
      <w:r>
        <w:rPr>
          <w:rStyle w:val="FootnoteReference"/>
        </w:rPr>
        <w:footnoteRef/>
      </w:r>
      <w:r>
        <w:t xml:space="preserve"> </w:t>
      </w:r>
      <w:r w:rsidRPr="00093DC6">
        <w:t>https://www.marathonpetroleum.com/Operations/Refining/Anacortes-Refinery/</w:t>
      </w:r>
    </w:p>
  </w:footnote>
  <w:footnote w:id="31">
    <w:p w14:paraId="7CE97494" w14:textId="5F1EDD01" w:rsidR="00284C18" w:rsidRDefault="00284C18">
      <w:pPr>
        <w:pStyle w:val="FootnoteText"/>
      </w:pPr>
      <w:r>
        <w:rPr>
          <w:rStyle w:val="FootnoteReference"/>
        </w:rPr>
        <w:footnoteRef/>
      </w:r>
      <w:r>
        <w:t xml:space="preserve"> </w:t>
      </w:r>
      <w:r w:rsidRPr="008F67E2">
        <w:t>http://usor.com/about/about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ED690" w14:textId="77777777" w:rsidR="00284C18" w:rsidRDefault="00284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302546"/>
      <w:docPartObj>
        <w:docPartGallery w:val="Watermarks"/>
        <w:docPartUnique/>
      </w:docPartObj>
    </w:sdtPr>
    <w:sdtEndPr/>
    <w:sdtContent>
      <w:p w14:paraId="766FD87A" w14:textId="20F2E1BE" w:rsidR="00284C18" w:rsidRDefault="009901CB">
        <w:pPr>
          <w:pStyle w:val="Header"/>
        </w:pPr>
        <w:r>
          <w:rPr>
            <w:noProof/>
          </w:rPr>
          <w:pict w14:anchorId="3B174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D0D0" w14:textId="77777777" w:rsidR="00284C18" w:rsidRDefault="00284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A697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2250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3C79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28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200C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E61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085F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DC23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3C6A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C457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E4785"/>
    <w:multiLevelType w:val="hybridMultilevel"/>
    <w:tmpl w:val="018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B6BD0"/>
    <w:multiLevelType w:val="hybridMultilevel"/>
    <w:tmpl w:val="C0AE7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82E72"/>
    <w:multiLevelType w:val="hybridMultilevel"/>
    <w:tmpl w:val="21CE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A2C30"/>
    <w:multiLevelType w:val="hybridMultilevel"/>
    <w:tmpl w:val="BC2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84DE4"/>
    <w:multiLevelType w:val="hybridMultilevel"/>
    <w:tmpl w:val="D910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2A64D5"/>
    <w:multiLevelType w:val="hybridMultilevel"/>
    <w:tmpl w:val="F690B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55573"/>
    <w:multiLevelType w:val="hybridMultilevel"/>
    <w:tmpl w:val="A6023A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598276A"/>
    <w:multiLevelType w:val="hybridMultilevel"/>
    <w:tmpl w:val="95E8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B0296"/>
    <w:multiLevelType w:val="hybridMultilevel"/>
    <w:tmpl w:val="A1A8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44164"/>
    <w:multiLevelType w:val="hybridMultilevel"/>
    <w:tmpl w:val="6D36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FD150F"/>
    <w:multiLevelType w:val="hybridMultilevel"/>
    <w:tmpl w:val="0A082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6F2DB7"/>
    <w:multiLevelType w:val="hybridMultilevel"/>
    <w:tmpl w:val="B3BA5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2F451F"/>
    <w:multiLevelType w:val="hybridMultilevel"/>
    <w:tmpl w:val="D486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FD5E8D"/>
    <w:multiLevelType w:val="hybridMultilevel"/>
    <w:tmpl w:val="6D36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93B3C"/>
    <w:multiLevelType w:val="multilevel"/>
    <w:tmpl w:val="0409001D"/>
    <w:styleLink w:val="Appendic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C903BDA"/>
    <w:multiLevelType w:val="hybridMultilevel"/>
    <w:tmpl w:val="DA4A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4F45"/>
    <w:multiLevelType w:val="hybridMultilevel"/>
    <w:tmpl w:val="B6F8C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F296C8A"/>
    <w:multiLevelType w:val="hybridMultilevel"/>
    <w:tmpl w:val="5C62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B1AE1"/>
    <w:multiLevelType w:val="hybridMultilevel"/>
    <w:tmpl w:val="704CB360"/>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02118A"/>
    <w:multiLevelType w:val="hybridMultilevel"/>
    <w:tmpl w:val="9494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72564"/>
    <w:multiLevelType w:val="hybridMultilevel"/>
    <w:tmpl w:val="73340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A628D9"/>
    <w:multiLevelType w:val="hybridMultilevel"/>
    <w:tmpl w:val="B5E2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512D9E"/>
    <w:multiLevelType w:val="hybridMultilevel"/>
    <w:tmpl w:val="F63C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1633A2"/>
    <w:multiLevelType w:val="hybridMultilevel"/>
    <w:tmpl w:val="47CC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52B71"/>
    <w:multiLevelType w:val="hybridMultilevel"/>
    <w:tmpl w:val="7DDE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3139F"/>
    <w:multiLevelType w:val="hybridMultilevel"/>
    <w:tmpl w:val="E4FE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D4231"/>
    <w:multiLevelType w:val="hybridMultilevel"/>
    <w:tmpl w:val="3B58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65868"/>
    <w:multiLevelType w:val="hybridMultilevel"/>
    <w:tmpl w:val="C92651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AAA3AA3"/>
    <w:multiLevelType w:val="hybridMultilevel"/>
    <w:tmpl w:val="8B36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B5F21"/>
    <w:multiLevelType w:val="hybridMultilevel"/>
    <w:tmpl w:val="67E2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15"/>
  </w:num>
  <w:num w:numId="15">
    <w:abstractNumId w:val="39"/>
  </w:num>
  <w:num w:numId="16">
    <w:abstractNumId w:val="29"/>
  </w:num>
  <w:num w:numId="17">
    <w:abstractNumId w:val="18"/>
  </w:num>
  <w:num w:numId="18">
    <w:abstractNumId w:val="14"/>
  </w:num>
  <w:num w:numId="19">
    <w:abstractNumId w:val="24"/>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32"/>
  </w:num>
  <w:num w:numId="33">
    <w:abstractNumId w:val="23"/>
  </w:num>
  <w:num w:numId="34">
    <w:abstractNumId w:val="22"/>
  </w:num>
  <w:num w:numId="35">
    <w:abstractNumId w:val="35"/>
  </w:num>
  <w:num w:numId="36">
    <w:abstractNumId w:val="17"/>
  </w:num>
  <w:num w:numId="37">
    <w:abstractNumId w:val="33"/>
  </w:num>
  <w:num w:numId="38">
    <w:abstractNumId w:val="34"/>
  </w:num>
  <w:num w:numId="39">
    <w:abstractNumId w:val="10"/>
  </w:num>
  <w:num w:numId="40">
    <w:abstractNumId w:val="38"/>
  </w:num>
  <w:num w:numId="41">
    <w:abstractNumId w:val="31"/>
  </w:num>
  <w:num w:numId="42">
    <w:abstractNumId w:val="27"/>
  </w:num>
  <w:num w:numId="43">
    <w:abstractNumId w:val="13"/>
  </w:num>
  <w:num w:numId="44">
    <w:abstractNumId w:val="12"/>
  </w:num>
  <w:num w:numId="45">
    <w:abstractNumId w:val="25"/>
  </w:num>
  <w:num w:numId="46">
    <w:abstractNumId w:val="36"/>
  </w:num>
  <w:num w:numId="47">
    <w:abstractNumId w:val="21"/>
  </w:num>
  <w:num w:numId="48">
    <w:abstractNumId w:val="37"/>
  </w:num>
  <w:num w:numId="49">
    <w:abstractNumId w:val="16"/>
  </w:num>
  <w:num w:numId="50">
    <w:abstractNumId w:val="20"/>
  </w:num>
  <w:num w:numId="51">
    <w:abstractNumId w:val="19"/>
  </w:num>
  <w:num w:numId="5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23F202-C6C2-4AE3-8640-4B5C996BBEC1}"/>
    <w:docVar w:name="dgnword-eventsink" w:val="450481768"/>
    <w:docVar w:name="dgnword-lastRevisionsView" w:val="0"/>
  </w:docVars>
  <w:rsids>
    <w:rsidRoot w:val="00DA4F3D"/>
    <w:rsid w:val="000010A3"/>
    <w:rsid w:val="000031B7"/>
    <w:rsid w:val="00004203"/>
    <w:rsid w:val="00004735"/>
    <w:rsid w:val="0000664C"/>
    <w:rsid w:val="000143E2"/>
    <w:rsid w:val="0002233A"/>
    <w:rsid w:val="000231F9"/>
    <w:rsid w:val="00023B98"/>
    <w:rsid w:val="00025367"/>
    <w:rsid w:val="000301E8"/>
    <w:rsid w:val="00032636"/>
    <w:rsid w:val="000374E2"/>
    <w:rsid w:val="0004149F"/>
    <w:rsid w:val="0004693D"/>
    <w:rsid w:val="000478E6"/>
    <w:rsid w:val="000479FA"/>
    <w:rsid w:val="00050EE0"/>
    <w:rsid w:val="000510E8"/>
    <w:rsid w:val="000526F9"/>
    <w:rsid w:val="000547DB"/>
    <w:rsid w:val="00054C7D"/>
    <w:rsid w:val="00057F3D"/>
    <w:rsid w:val="00060544"/>
    <w:rsid w:val="0006202C"/>
    <w:rsid w:val="00062F58"/>
    <w:rsid w:val="00064950"/>
    <w:rsid w:val="00066759"/>
    <w:rsid w:val="00067820"/>
    <w:rsid w:val="00073A72"/>
    <w:rsid w:val="00074337"/>
    <w:rsid w:val="000745B0"/>
    <w:rsid w:val="000760D6"/>
    <w:rsid w:val="00080367"/>
    <w:rsid w:val="00080477"/>
    <w:rsid w:val="00081EA3"/>
    <w:rsid w:val="000827D6"/>
    <w:rsid w:val="00085F29"/>
    <w:rsid w:val="00086413"/>
    <w:rsid w:val="0008643C"/>
    <w:rsid w:val="00087F95"/>
    <w:rsid w:val="000908A5"/>
    <w:rsid w:val="00093DC6"/>
    <w:rsid w:val="000A118A"/>
    <w:rsid w:val="000A1BDE"/>
    <w:rsid w:val="000A650C"/>
    <w:rsid w:val="000A78E1"/>
    <w:rsid w:val="000B208E"/>
    <w:rsid w:val="000B6340"/>
    <w:rsid w:val="000B74BC"/>
    <w:rsid w:val="000B7AE2"/>
    <w:rsid w:val="000B7B8F"/>
    <w:rsid w:val="000C078C"/>
    <w:rsid w:val="000C0BB5"/>
    <w:rsid w:val="000C1AF9"/>
    <w:rsid w:val="000C2EB3"/>
    <w:rsid w:val="000C2F9F"/>
    <w:rsid w:val="000C3AF1"/>
    <w:rsid w:val="000C7296"/>
    <w:rsid w:val="000D04B7"/>
    <w:rsid w:val="000D4D2A"/>
    <w:rsid w:val="000D6D38"/>
    <w:rsid w:val="000E4877"/>
    <w:rsid w:val="000E4A49"/>
    <w:rsid w:val="000E70A4"/>
    <w:rsid w:val="000E7960"/>
    <w:rsid w:val="00100946"/>
    <w:rsid w:val="00102B37"/>
    <w:rsid w:val="00103007"/>
    <w:rsid w:val="001040E0"/>
    <w:rsid w:val="001061F9"/>
    <w:rsid w:val="00111002"/>
    <w:rsid w:val="001155F2"/>
    <w:rsid w:val="00115F2B"/>
    <w:rsid w:val="00115FD3"/>
    <w:rsid w:val="0012097C"/>
    <w:rsid w:val="00120E26"/>
    <w:rsid w:val="00123CE2"/>
    <w:rsid w:val="00123ECA"/>
    <w:rsid w:val="001263D9"/>
    <w:rsid w:val="00132A3D"/>
    <w:rsid w:val="00132D39"/>
    <w:rsid w:val="00132EBB"/>
    <w:rsid w:val="0013460F"/>
    <w:rsid w:val="00136B21"/>
    <w:rsid w:val="00140570"/>
    <w:rsid w:val="00140A46"/>
    <w:rsid w:val="0014232A"/>
    <w:rsid w:val="00142B6D"/>
    <w:rsid w:val="0014583A"/>
    <w:rsid w:val="00147D31"/>
    <w:rsid w:val="00150646"/>
    <w:rsid w:val="00151865"/>
    <w:rsid w:val="00152E56"/>
    <w:rsid w:val="0015514E"/>
    <w:rsid w:val="0015564F"/>
    <w:rsid w:val="00156702"/>
    <w:rsid w:val="00163E31"/>
    <w:rsid w:val="00166780"/>
    <w:rsid w:val="0017126E"/>
    <w:rsid w:val="00172180"/>
    <w:rsid w:val="00173C5A"/>
    <w:rsid w:val="001761DF"/>
    <w:rsid w:val="0018332D"/>
    <w:rsid w:val="0019053A"/>
    <w:rsid w:val="001969D0"/>
    <w:rsid w:val="001973F7"/>
    <w:rsid w:val="001A1D59"/>
    <w:rsid w:val="001A27A2"/>
    <w:rsid w:val="001A3E02"/>
    <w:rsid w:val="001A48A7"/>
    <w:rsid w:val="001A4B29"/>
    <w:rsid w:val="001A5A53"/>
    <w:rsid w:val="001A66BC"/>
    <w:rsid w:val="001A7CDA"/>
    <w:rsid w:val="001B673C"/>
    <w:rsid w:val="001B7EF9"/>
    <w:rsid w:val="001C5296"/>
    <w:rsid w:val="001D31C2"/>
    <w:rsid w:val="001D3936"/>
    <w:rsid w:val="001D4975"/>
    <w:rsid w:val="001D55D9"/>
    <w:rsid w:val="001D574D"/>
    <w:rsid w:val="001E1826"/>
    <w:rsid w:val="001E255C"/>
    <w:rsid w:val="001E57FF"/>
    <w:rsid w:val="001E63D3"/>
    <w:rsid w:val="001E6965"/>
    <w:rsid w:val="001E7045"/>
    <w:rsid w:val="001F03B3"/>
    <w:rsid w:val="001F6E4D"/>
    <w:rsid w:val="00214AFC"/>
    <w:rsid w:val="002246F7"/>
    <w:rsid w:val="00226C61"/>
    <w:rsid w:val="00226FD6"/>
    <w:rsid w:val="00230A7B"/>
    <w:rsid w:val="002323E2"/>
    <w:rsid w:val="00234903"/>
    <w:rsid w:val="00240D7D"/>
    <w:rsid w:val="0024237D"/>
    <w:rsid w:val="002433FC"/>
    <w:rsid w:val="002441E7"/>
    <w:rsid w:val="00246BB9"/>
    <w:rsid w:val="0025114A"/>
    <w:rsid w:val="00251CC2"/>
    <w:rsid w:val="002567F2"/>
    <w:rsid w:val="00262049"/>
    <w:rsid w:val="002633A1"/>
    <w:rsid w:val="00266FC6"/>
    <w:rsid w:val="00270549"/>
    <w:rsid w:val="00273A36"/>
    <w:rsid w:val="00275643"/>
    <w:rsid w:val="002772D5"/>
    <w:rsid w:val="00280BCE"/>
    <w:rsid w:val="0028124F"/>
    <w:rsid w:val="0028284A"/>
    <w:rsid w:val="00284C18"/>
    <w:rsid w:val="00284C91"/>
    <w:rsid w:val="0028558A"/>
    <w:rsid w:val="00285D3F"/>
    <w:rsid w:val="00286F1E"/>
    <w:rsid w:val="002876C1"/>
    <w:rsid w:val="00291BD4"/>
    <w:rsid w:val="002933A4"/>
    <w:rsid w:val="002940FD"/>
    <w:rsid w:val="002A0679"/>
    <w:rsid w:val="002B3229"/>
    <w:rsid w:val="002B64B8"/>
    <w:rsid w:val="002C0995"/>
    <w:rsid w:val="002C1356"/>
    <w:rsid w:val="002C1CE9"/>
    <w:rsid w:val="002C2B83"/>
    <w:rsid w:val="002C3341"/>
    <w:rsid w:val="002C795F"/>
    <w:rsid w:val="002D37B5"/>
    <w:rsid w:val="002D61F7"/>
    <w:rsid w:val="002E3750"/>
    <w:rsid w:val="002E5CF3"/>
    <w:rsid w:val="002E5ECE"/>
    <w:rsid w:val="002E62BD"/>
    <w:rsid w:val="002E62D2"/>
    <w:rsid w:val="002E6A90"/>
    <w:rsid w:val="002F27EA"/>
    <w:rsid w:val="002F5163"/>
    <w:rsid w:val="003027C6"/>
    <w:rsid w:val="0030489D"/>
    <w:rsid w:val="003059F9"/>
    <w:rsid w:val="003066E2"/>
    <w:rsid w:val="003073EB"/>
    <w:rsid w:val="00307D8B"/>
    <w:rsid w:val="00310872"/>
    <w:rsid w:val="0032043E"/>
    <w:rsid w:val="00332E06"/>
    <w:rsid w:val="00333A3E"/>
    <w:rsid w:val="00333F25"/>
    <w:rsid w:val="00337831"/>
    <w:rsid w:val="00341ACC"/>
    <w:rsid w:val="003465E0"/>
    <w:rsid w:val="0035138E"/>
    <w:rsid w:val="003570CC"/>
    <w:rsid w:val="003607C5"/>
    <w:rsid w:val="00362B54"/>
    <w:rsid w:val="00365F80"/>
    <w:rsid w:val="00367BBB"/>
    <w:rsid w:val="00370A48"/>
    <w:rsid w:val="00370E19"/>
    <w:rsid w:val="00372204"/>
    <w:rsid w:val="00374B5D"/>
    <w:rsid w:val="003756CD"/>
    <w:rsid w:val="0037624F"/>
    <w:rsid w:val="00377A7B"/>
    <w:rsid w:val="00380A55"/>
    <w:rsid w:val="003820F9"/>
    <w:rsid w:val="00390315"/>
    <w:rsid w:val="00393322"/>
    <w:rsid w:val="00396053"/>
    <w:rsid w:val="00396A5E"/>
    <w:rsid w:val="003A22A0"/>
    <w:rsid w:val="003A34F7"/>
    <w:rsid w:val="003A4281"/>
    <w:rsid w:val="003A4B54"/>
    <w:rsid w:val="003A6053"/>
    <w:rsid w:val="003B1ADF"/>
    <w:rsid w:val="003B546D"/>
    <w:rsid w:val="003B6BA6"/>
    <w:rsid w:val="003C0B70"/>
    <w:rsid w:val="003C1FA5"/>
    <w:rsid w:val="003C236F"/>
    <w:rsid w:val="003C34A5"/>
    <w:rsid w:val="003C5BCA"/>
    <w:rsid w:val="003C6544"/>
    <w:rsid w:val="003C7595"/>
    <w:rsid w:val="003C7CCC"/>
    <w:rsid w:val="003D1345"/>
    <w:rsid w:val="003D1D4A"/>
    <w:rsid w:val="003D1DAD"/>
    <w:rsid w:val="003D2BAE"/>
    <w:rsid w:val="003D362E"/>
    <w:rsid w:val="003D68EC"/>
    <w:rsid w:val="003E3159"/>
    <w:rsid w:val="003E3CD3"/>
    <w:rsid w:val="003F1BC0"/>
    <w:rsid w:val="003F2414"/>
    <w:rsid w:val="003F28C4"/>
    <w:rsid w:val="003F7F83"/>
    <w:rsid w:val="00402134"/>
    <w:rsid w:val="00402210"/>
    <w:rsid w:val="00403FC3"/>
    <w:rsid w:val="0040491F"/>
    <w:rsid w:val="0040662F"/>
    <w:rsid w:val="004078DD"/>
    <w:rsid w:val="00407952"/>
    <w:rsid w:val="00414C6E"/>
    <w:rsid w:val="00417173"/>
    <w:rsid w:val="004178F6"/>
    <w:rsid w:val="00421341"/>
    <w:rsid w:val="00422F8A"/>
    <w:rsid w:val="00427D3A"/>
    <w:rsid w:val="00433703"/>
    <w:rsid w:val="00437EE0"/>
    <w:rsid w:val="00440E24"/>
    <w:rsid w:val="004414D3"/>
    <w:rsid w:val="00444B8E"/>
    <w:rsid w:val="0044791F"/>
    <w:rsid w:val="004515FC"/>
    <w:rsid w:val="00451E82"/>
    <w:rsid w:val="004562CC"/>
    <w:rsid w:val="004611BF"/>
    <w:rsid w:val="0046154C"/>
    <w:rsid w:val="00464E13"/>
    <w:rsid w:val="004671A9"/>
    <w:rsid w:val="004750E8"/>
    <w:rsid w:val="00477011"/>
    <w:rsid w:val="004823F8"/>
    <w:rsid w:val="004825E7"/>
    <w:rsid w:val="004906BF"/>
    <w:rsid w:val="004915F4"/>
    <w:rsid w:val="004925A8"/>
    <w:rsid w:val="00493E76"/>
    <w:rsid w:val="004A0E16"/>
    <w:rsid w:val="004A5FF0"/>
    <w:rsid w:val="004A7541"/>
    <w:rsid w:val="004B28BF"/>
    <w:rsid w:val="004B2E48"/>
    <w:rsid w:val="004B66C9"/>
    <w:rsid w:val="004B69C6"/>
    <w:rsid w:val="004C1F04"/>
    <w:rsid w:val="004C6337"/>
    <w:rsid w:val="004D3256"/>
    <w:rsid w:val="004D7D90"/>
    <w:rsid w:val="004E1047"/>
    <w:rsid w:val="004E1064"/>
    <w:rsid w:val="004E7FA1"/>
    <w:rsid w:val="004F0EB9"/>
    <w:rsid w:val="004F1E0E"/>
    <w:rsid w:val="004F349C"/>
    <w:rsid w:val="004F39D3"/>
    <w:rsid w:val="004F3A23"/>
    <w:rsid w:val="004F5EF2"/>
    <w:rsid w:val="005025DC"/>
    <w:rsid w:val="00502BB6"/>
    <w:rsid w:val="00502D14"/>
    <w:rsid w:val="00502DCE"/>
    <w:rsid w:val="00503AD3"/>
    <w:rsid w:val="00503CD7"/>
    <w:rsid w:val="00504519"/>
    <w:rsid w:val="005054B0"/>
    <w:rsid w:val="0050556F"/>
    <w:rsid w:val="00507A08"/>
    <w:rsid w:val="0051148F"/>
    <w:rsid w:val="00512123"/>
    <w:rsid w:val="0051399B"/>
    <w:rsid w:val="00513B97"/>
    <w:rsid w:val="005147BB"/>
    <w:rsid w:val="005164EC"/>
    <w:rsid w:val="005201CD"/>
    <w:rsid w:val="00522DD1"/>
    <w:rsid w:val="00524172"/>
    <w:rsid w:val="0052540C"/>
    <w:rsid w:val="00533FA1"/>
    <w:rsid w:val="00534B5B"/>
    <w:rsid w:val="00535AD9"/>
    <w:rsid w:val="005363FD"/>
    <w:rsid w:val="0054097F"/>
    <w:rsid w:val="00541BF0"/>
    <w:rsid w:val="00543D56"/>
    <w:rsid w:val="00543E73"/>
    <w:rsid w:val="005449A0"/>
    <w:rsid w:val="00546225"/>
    <w:rsid w:val="005478DE"/>
    <w:rsid w:val="00553B2E"/>
    <w:rsid w:val="0055754B"/>
    <w:rsid w:val="005608A9"/>
    <w:rsid w:val="00560DED"/>
    <w:rsid w:val="005662B2"/>
    <w:rsid w:val="005679C6"/>
    <w:rsid w:val="00572CC4"/>
    <w:rsid w:val="0057394C"/>
    <w:rsid w:val="00573B63"/>
    <w:rsid w:val="00574564"/>
    <w:rsid w:val="00574B8D"/>
    <w:rsid w:val="00580794"/>
    <w:rsid w:val="00581CFC"/>
    <w:rsid w:val="00583DD6"/>
    <w:rsid w:val="005935CA"/>
    <w:rsid w:val="00593BC6"/>
    <w:rsid w:val="005945D8"/>
    <w:rsid w:val="00594E6C"/>
    <w:rsid w:val="00596794"/>
    <w:rsid w:val="00597364"/>
    <w:rsid w:val="005A6352"/>
    <w:rsid w:val="005A6C75"/>
    <w:rsid w:val="005A6FD4"/>
    <w:rsid w:val="005B276B"/>
    <w:rsid w:val="005C3DC2"/>
    <w:rsid w:val="005C42A7"/>
    <w:rsid w:val="005C524C"/>
    <w:rsid w:val="005D03E7"/>
    <w:rsid w:val="005D4EAA"/>
    <w:rsid w:val="005D5EC6"/>
    <w:rsid w:val="005D5FF4"/>
    <w:rsid w:val="005E0CEA"/>
    <w:rsid w:val="005E6915"/>
    <w:rsid w:val="005E7E42"/>
    <w:rsid w:val="005F1588"/>
    <w:rsid w:val="005F3F99"/>
    <w:rsid w:val="005F7F51"/>
    <w:rsid w:val="00604646"/>
    <w:rsid w:val="0060745E"/>
    <w:rsid w:val="00610458"/>
    <w:rsid w:val="00610DEC"/>
    <w:rsid w:val="0061193A"/>
    <w:rsid w:val="00611ACA"/>
    <w:rsid w:val="006122C6"/>
    <w:rsid w:val="00614DC0"/>
    <w:rsid w:val="00620436"/>
    <w:rsid w:val="0063153E"/>
    <w:rsid w:val="006339CA"/>
    <w:rsid w:val="00634CC2"/>
    <w:rsid w:val="00636817"/>
    <w:rsid w:val="00644124"/>
    <w:rsid w:val="00644379"/>
    <w:rsid w:val="00646E3E"/>
    <w:rsid w:val="00654BC2"/>
    <w:rsid w:val="006705B4"/>
    <w:rsid w:val="006728A6"/>
    <w:rsid w:val="00672CB4"/>
    <w:rsid w:val="0067717B"/>
    <w:rsid w:val="00683341"/>
    <w:rsid w:val="00684CDE"/>
    <w:rsid w:val="00685261"/>
    <w:rsid w:val="006856E7"/>
    <w:rsid w:val="0068711A"/>
    <w:rsid w:val="00690FBC"/>
    <w:rsid w:val="00691777"/>
    <w:rsid w:val="00697B16"/>
    <w:rsid w:val="00697EEA"/>
    <w:rsid w:val="006A560F"/>
    <w:rsid w:val="006B0570"/>
    <w:rsid w:val="006C25EB"/>
    <w:rsid w:val="006C52AF"/>
    <w:rsid w:val="006C56DE"/>
    <w:rsid w:val="006C77FD"/>
    <w:rsid w:val="006D17A9"/>
    <w:rsid w:val="006D219C"/>
    <w:rsid w:val="006D33A1"/>
    <w:rsid w:val="006D3ACB"/>
    <w:rsid w:val="006D55F1"/>
    <w:rsid w:val="006D6B9A"/>
    <w:rsid w:val="006E7A14"/>
    <w:rsid w:val="006F11E6"/>
    <w:rsid w:val="006F772C"/>
    <w:rsid w:val="0070075D"/>
    <w:rsid w:val="00700F5C"/>
    <w:rsid w:val="00701658"/>
    <w:rsid w:val="00706F3E"/>
    <w:rsid w:val="00710C88"/>
    <w:rsid w:val="00711746"/>
    <w:rsid w:val="00712734"/>
    <w:rsid w:val="007141FC"/>
    <w:rsid w:val="0071749B"/>
    <w:rsid w:val="0071787D"/>
    <w:rsid w:val="00721759"/>
    <w:rsid w:val="007227D2"/>
    <w:rsid w:val="00726C67"/>
    <w:rsid w:val="007302E8"/>
    <w:rsid w:val="00737498"/>
    <w:rsid w:val="007403B1"/>
    <w:rsid w:val="007421AC"/>
    <w:rsid w:val="0074623E"/>
    <w:rsid w:val="00747912"/>
    <w:rsid w:val="0075078B"/>
    <w:rsid w:val="0075109F"/>
    <w:rsid w:val="00751A29"/>
    <w:rsid w:val="007562D7"/>
    <w:rsid w:val="007640CD"/>
    <w:rsid w:val="00764134"/>
    <w:rsid w:val="00765E66"/>
    <w:rsid w:val="00766706"/>
    <w:rsid w:val="00770622"/>
    <w:rsid w:val="00770CED"/>
    <w:rsid w:val="00772642"/>
    <w:rsid w:val="00772E26"/>
    <w:rsid w:val="00773B7B"/>
    <w:rsid w:val="007809D3"/>
    <w:rsid w:val="00781FE4"/>
    <w:rsid w:val="007856F3"/>
    <w:rsid w:val="00786EC9"/>
    <w:rsid w:val="00792484"/>
    <w:rsid w:val="00794BB9"/>
    <w:rsid w:val="007962DB"/>
    <w:rsid w:val="00796E09"/>
    <w:rsid w:val="007A2177"/>
    <w:rsid w:val="007A27BE"/>
    <w:rsid w:val="007A2B67"/>
    <w:rsid w:val="007A4AD8"/>
    <w:rsid w:val="007A4E37"/>
    <w:rsid w:val="007B6998"/>
    <w:rsid w:val="007C27ED"/>
    <w:rsid w:val="007D4B2D"/>
    <w:rsid w:val="007D7FAD"/>
    <w:rsid w:val="007E0B39"/>
    <w:rsid w:val="007E3FD0"/>
    <w:rsid w:val="007E5562"/>
    <w:rsid w:val="007E69A9"/>
    <w:rsid w:val="007E6B85"/>
    <w:rsid w:val="007F2AAD"/>
    <w:rsid w:val="007F2DE8"/>
    <w:rsid w:val="007F764D"/>
    <w:rsid w:val="00800F5B"/>
    <w:rsid w:val="00803490"/>
    <w:rsid w:val="00810AD0"/>
    <w:rsid w:val="00810C9B"/>
    <w:rsid w:val="00812E9A"/>
    <w:rsid w:val="008144B4"/>
    <w:rsid w:val="008144ED"/>
    <w:rsid w:val="008146AE"/>
    <w:rsid w:val="008160ED"/>
    <w:rsid w:val="00823FF3"/>
    <w:rsid w:val="0082687C"/>
    <w:rsid w:val="00826A0C"/>
    <w:rsid w:val="00832B9F"/>
    <w:rsid w:val="0083751B"/>
    <w:rsid w:val="008413B5"/>
    <w:rsid w:val="00841421"/>
    <w:rsid w:val="00843D1A"/>
    <w:rsid w:val="00845F7A"/>
    <w:rsid w:val="00847222"/>
    <w:rsid w:val="00853AD4"/>
    <w:rsid w:val="0085684F"/>
    <w:rsid w:val="00860623"/>
    <w:rsid w:val="008622A9"/>
    <w:rsid w:val="00864338"/>
    <w:rsid w:val="00867992"/>
    <w:rsid w:val="008704B0"/>
    <w:rsid w:val="00870AF9"/>
    <w:rsid w:val="00870F17"/>
    <w:rsid w:val="008731AF"/>
    <w:rsid w:val="0087555C"/>
    <w:rsid w:val="00876966"/>
    <w:rsid w:val="00876FB0"/>
    <w:rsid w:val="00893351"/>
    <w:rsid w:val="00893AD6"/>
    <w:rsid w:val="00893EA1"/>
    <w:rsid w:val="008953B8"/>
    <w:rsid w:val="00896B67"/>
    <w:rsid w:val="008A1887"/>
    <w:rsid w:val="008A2494"/>
    <w:rsid w:val="008A47BE"/>
    <w:rsid w:val="008B06D3"/>
    <w:rsid w:val="008B5F7F"/>
    <w:rsid w:val="008B62B0"/>
    <w:rsid w:val="008C3F0A"/>
    <w:rsid w:val="008C759A"/>
    <w:rsid w:val="008D0BFB"/>
    <w:rsid w:val="008F0ABE"/>
    <w:rsid w:val="008F5EFB"/>
    <w:rsid w:val="008F6340"/>
    <w:rsid w:val="008F67E2"/>
    <w:rsid w:val="008F7129"/>
    <w:rsid w:val="008F7891"/>
    <w:rsid w:val="00900CCB"/>
    <w:rsid w:val="009012E5"/>
    <w:rsid w:val="00901AC9"/>
    <w:rsid w:val="00902A09"/>
    <w:rsid w:val="00903E09"/>
    <w:rsid w:val="00906266"/>
    <w:rsid w:val="00912280"/>
    <w:rsid w:val="00923F6E"/>
    <w:rsid w:val="00926136"/>
    <w:rsid w:val="0093510D"/>
    <w:rsid w:val="00942C29"/>
    <w:rsid w:val="00951641"/>
    <w:rsid w:val="00957CF7"/>
    <w:rsid w:val="0096088C"/>
    <w:rsid w:val="00961872"/>
    <w:rsid w:val="0096236F"/>
    <w:rsid w:val="0096362D"/>
    <w:rsid w:val="00974F61"/>
    <w:rsid w:val="009766E9"/>
    <w:rsid w:val="009803E0"/>
    <w:rsid w:val="00981C96"/>
    <w:rsid w:val="009836BE"/>
    <w:rsid w:val="00983EC6"/>
    <w:rsid w:val="00984D67"/>
    <w:rsid w:val="00984F6C"/>
    <w:rsid w:val="00986CBE"/>
    <w:rsid w:val="00987F16"/>
    <w:rsid w:val="009901CB"/>
    <w:rsid w:val="00990422"/>
    <w:rsid w:val="00992723"/>
    <w:rsid w:val="009932BF"/>
    <w:rsid w:val="0099371C"/>
    <w:rsid w:val="0099617F"/>
    <w:rsid w:val="00996BD9"/>
    <w:rsid w:val="009972C3"/>
    <w:rsid w:val="009A0ED2"/>
    <w:rsid w:val="009A61BD"/>
    <w:rsid w:val="009A7A1F"/>
    <w:rsid w:val="009B1D42"/>
    <w:rsid w:val="009B2671"/>
    <w:rsid w:val="009B3712"/>
    <w:rsid w:val="009C2450"/>
    <w:rsid w:val="009C43A5"/>
    <w:rsid w:val="009C4F85"/>
    <w:rsid w:val="009C531E"/>
    <w:rsid w:val="009C7742"/>
    <w:rsid w:val="009C7941"/>
    <w:rsid w:val="009C79C2"/>
    <w:rsid w:val="009D2F52"/>
    <w:rsid w:val="009D3740"/>
    <w:rsid w:val="009D3F1E"/>
    <w:rsid w:val="009D3F5E"/>
    <w:rsid w:val="009D4EF4"/>
    <w:rsid w:val="009E2F81"/>
    <w:rsid w:val="009E5D1D"/>
    <w:rsid w:val="009E6992"/>
    <w:rsid w:val="009E6F97"/>
    <w:rsid w:val="009E6FB5"/>
    <w:rsid w:val="009E7E5A"/>
    <w:rsid w:val="009F3A33"/>
    <w:rsid w:val="009F5DC2"/>
    <w:rsid w:val="009F7292"/>
    <w:rsid w:val="00A01B52"/>
    <w:rsid w:val="00A037F1"/>
    <w:rsid w:val="00A0475B"/>
    <w:rsid w:val="00A05173"/>
    <w:rsid w:val="00A05C22"/>
    <w:rsid w:val="00A1128E"/>
    <w:rsid w:val="00A1442B"/>
    <w:rsid w:val="00A147E7"/>
    <w:rsid w:val="00A2073E"/>
    <w:rsid w:val="00A221AD"/>
    <w:rsid w:val="00A2313B"/>
    <w:rsid w:val="00A2731F"/>
    <w:rsid w:val="00A27552"/>
    <w:rsid w:val="00A32CFB"/>
    <w:rsid w:val="00A40C5B"/>
    <w:rsid w:val="00A418CE"/>
    <w:rsid w:val="00A426D7"/>
    <w:rsid w:val="00A4304B"/>
    <w:rsid w:val="00A44195"/>
    <w:rsid w:val="00A465B5"/>
    <w:rsid w:val="00A50FD3"/>
    <w:rsid w:val="00A5189A"/>
    <w:rsid w:val="00A523D6"/>
    <w:rsid w:val="00A53157"/>
    <w:rsid w:val="00A53E37"/>
    <w:rsid w:val="00A55671"/>
    <w:rsid w:val="00A56EF0"/>
    <w:rsid w:val="00A601E3"/>
    <w:rsid w:val="00A60B7E"/>
    <w:rsid w:val="00A61CAA"/>
    <w:rsid w:val="00A63336"/>
    <w:rsid w:val="00A63680"/>
    <w:rsid w:val="00A71764"/>
    <w:rsid w:val="00A73E0F"/>
    <w:rsid w:val="00A7438D"/>
    <w:rsid w:val="00A80100"/>
    <w:rsid w:val="00A9339A"/>
    <w:rsid w:val="00A9469F"/>
    <w:rsid w:val="00A97552"/>
    <w:rsid w:val="00AA1388"/>
    <w:rsid w:val="00AA15AF"/>
    <w:rsid w:val="00AA4E22"/>
    <w:rsid w:val="00AB005C"/>
    <w:rsid w:val="00AB2E99"/>
    <w:rsid w:val="00AB31C1"/>
    <w:rsid w:val="00AB4946"/>
    <w:rsid w:val="00AB5460"/>
    <w:rsid w:val="00AC0930"/>
    <w:rsid w:val="00AC2F38"/>
    <w:rsid w:val="00AC4AFE"/>
    <w:rsid w:val="00AD1EAD"/>
    <w:rsid w:val="00AD3B90"/>
    <w:rsid w:val="00AD5120"/>
    <w:rsid w:val="00AD6178"/>
    <w:rsid w:val="00AD793C"/>
    <w:rsid w:val="00AE47F1"/>
    <w:rsid w:val="00AE77A8"/>
    <w:rsid w:val="00AF0811"/>
    <w:rsid w:val="00AF3E8D"/>
    <w:rsid w:val="00AF51E6"/>
    <w:rsid w:val="00B07D39"/>
    <w:rsid w:val="00B12D54"/>
    <w:rsid w:val="00B14F94"/>
    <w:rsid w:val="00B1799E"/>
    <w:rsid w:val="00B274F5"/>
    <w:rsid w:val="00B31312"/>
    <w:rsid w:val="00B316AF"/>
    <w:rsid w:val="00B332BD"/>
    <w:rsid w:val="00B3608A"/>
    <w:rsid w:val="00B37157"/>
    <w:rsid w:val="00B440CF"/>
    <w:rsid w:val="00B44762"/>
    <w:rsid w:val="00B46CDB"/>
    <w:rsid w:val="00B47794"/>
    <w:rsid w:val="00B509C4"/>
    <w:rsid w:val="00B51460"/>
    <w:rsid w:val="00B5195F"/>
    <w:rsid w:val="00B558C4"/>
    <w:rsid w:val="00B61F0B"/>
    <w:rsid w:val="00B633A0"/>
    <w:rsid w:val="00B64D84"/>
    <w:rsid w:val="00B71595"/>
    <w:rsid w:val="00B7208C"/>
    <w:rsid w:val="00B725FB"/>
    <w:rsid w:val="00B75C28"/>
    <w:rsid w:val="00B76460"/>
    <w:rsid w:val="00B81BF6"/>
    <w:rsid w:val="00B81C5C"/>
    <w:rsid w:val="00B84905"/>
    <w:rsid w:val="00B84B7F"/>
    <w:rsid w:val="00B90556"/>
    <w:rsid w:val="00B91185"/>
    <w:rsid w:val="00B91950"/>
    <w:rsid w:val="00B91B6C"/>
    <w:rsid w:val="00B920F9"/>
    <w:rsid w:val="00B923E7"/>
    <w:rsid w:val="00B931A4"/>
    <w:rsid w:val="00B957D9"/>
    <w:rsid w:val="00BA40E4"/>
    <w:rsid w:val="00BA4901"/>
    <w:rsid w:val="00BA745C"/>
    <w:rsid w:val="00BA7559"/>
    <w:rsid w:val="00BA7EB6"/>
    <w:rsid w:val="00BB08F1"/>
    <w:rsid w:val="00BB0D6A"/>
    <w:rsid w:val="00BB242F"/>
    <w:rsid w:val="00BB6847"/>
    <w:rsid w:val="00BB7101"/>
    <w:rsid w:val="00BC2E3D"/>
    <w:rsid w:val="00BC59F8"/>
    <w:rsid w:val="00BD09E8"/>
    <w:rsid w:val="00BD2563"/>
    <w:rsid w:val="00BD6110"/>
    <w:rsid w:val="00BD71EB"/>
    <w:rsid w:val="00BD763B"/>
    <w:rsid w:val="00BE105F"/>
    <w:rsid w:val="00BE3266"/>
    <w:rsid w:val="00BE7600"/>
    <w:rsid w:val="00BF1DC0"/>
    <w:rsid w:val="00BF2A47"/>
    <w:rsid w:val="00BF2C9F"/>
    <w:rsid w:val="00BF51D2"/>
    <w:rsid w:val="00BF5FE8"/>
    <w:rsid w:val="00BF7F12"/>
    <w:rsid w:val="00C00238"/>
    <w:rsid w:val="00C02D8D"/>
    <w:rsid w:val="00C02FFC"/>
    <w:rsid w:val="00C030B9"/>
    <w:rsid w:val="00C043A7"/>
    <w:rsid w:val="00C068BF"/>
    <w:rsid w:val="00C1099A"/>
    <w:rsid w:val="00C129D7"/>
    <w:rsid w:val="00C13A52"/>
    <w:rsid w:val="00C16074"/>
    <w:rsid w:val="00C17507"/>
    <w:rsid w:val="00C21358"/>
    <w:rsid w:val="00C2335A"/>
    <w:rsid w:val="00C23A97"/>
    <w:rsid w:val="00C26508"/>
    <w:rsid w:val="00C3222D"/>
    <w:rsid w:val="00C35858"/>
    <w:rsid w:val="00C369B8"/>
    <w:rsid w:val="00C36E6A"/>
    <w:rsid w:val="00C42378"/>
    <w:rsid w:val="00C46C82"/>
    <w:rsid w:val="00C4737D"/>
    <w:rsid w:val="00C50F6A"/>
    <w:rsid w:val="00C51CE4"/>
    <w:rsid w:val="00C530A1"/>
    <w:rsid w:val="00C5621E"/>
    <w:rsid w:val="00C6083B"/>
    <w:rsid w:val="00C6256A"/>
    <w:rsid w:val="00C64CA9"/>
    <w:rsid w:val="00C65398"/>
    <w:rsid w:val="00C660D4"/>
    <w:rsid w:val="00C67761"/>
    <w:rsid w:val="00C677CE"/>
    <w:rsid w:val="00C67AFF"/>
    <w:rsid w:val="00C70A11"/>
    <w:rsid w:val="00C7100A"/>
    <w:rsid w:val="00C753A1"/>
    <w:rsid w:val="00C75834"/>
    <w:rsid w:val="00C7723F"/>
    <w:rsid w:val="00C80BFC"/>
    <w:rsid w:val="00C83566"/>
    <w:rsid w:val="00C83D3E"/>
    <w:rsid w:val="00C857BC"/>
    <w:rsid w:val="00C864FA"/>
    <w:rsid w:val="00C90B48"/>
    <w:rsid w:val="00C93BDF"/>
    <w:rsid w:val="00C95B7B"/>
    <w:rsid w:val="00C96537"/>
    <w:rsid w:val="00C974B7"/>
    <w:rsid w:val="00CA0699"/>
    <w:rsid w:val="00CA23F2"/>
    <w:rsid w:val="00CA47D3"/>
    <w:rsid w:val="00CB5660"/>
    <w:rsid w:val="00CB6863"/>
    <w:rsid w:val="00CC09C3"/>
    <w:rsid w:val="00CC0E39"/>
    <w:rsid w:val="00CC1946"/>
    <w:rsid w:val="00CD0C5D"/>
    <w:rsid w:val="00CD75E2"/>
    <w:rsid w:val="00CE113F"/>
    <w:rsid w:val="00CE2157"/>
    <w:rsid w:val="00CE3E47"/>
    <w:rsid w:val="00CE6702"/>
    <w:rsid w:val="00CF01ED"/>
    <w:rsid w:val="00CF4196"/>
    <w:rsid w:val="00CF52D8"/>
    <w:rsid w:val="00CF72F6"/>
    <w:rsid w:val="00CF75DA"/>
    <w:rsid w:val="00D064F3"/>
    <w:rsid w:val="00D12559"/>
    <w:rsid w:val="00D200E7"/>
    <w:rsid w:val="00D21B68"/>
    <w:rsid w:val="00D26D18"/>
    <w:rsid w:val="00D275AF"/>
    <w:rsid w:val="00D30605"/>
    <w:rsid w:val="00D34381"/>
    <w:rsid w:val="00D35917"/>
    <w:rsid w:val="00D36888"/>
    <w:rsid w:val="00D41793"/>
    <w:rsid w:val="00D444D7"/>
    <w:rsid w:val="00D45E83"/>
    <w:rsid w:val="00D502B4"/>
    <w:rsid w:val="00D53D4C"/>
    <w:rsid w:val="00D56BEB"/>
    <w:rsid w:val="00D57E0F"/>
    <w:rsid w:val="00D61EB9"/>
    <w:rsid w:val="00D64301"/>
    <w:rsid w:val="00D65178"/>
    <w:rsid w:val="00D679B8"/>
    <w:rsid w:val="00D71BE9"/>
    <w:rsid w:val="00D72F27"/>
    <w:rsid w:val="00D7581D"/>
    <w:rsid w:val="00D7613E"/>
    <w:rsid w:val="00D802C4"/>
    <w:rsid w:val="00D85612"/>
    <w:rsid w:val="00D856EE"/>
    <w:rsid w:val="00D86A48"/>
    <w:rsid w:val="00D9163A"/>
    <w:rsid w:val="00D92083"/>
    <w:rsid w:val="00D94DC0"/>
    <w:rsid w:val="00D9775F"/>
    <w:rsid w:val="00DA04C2"/>
    <w:rsid w:val="00DA3770"/>
    <w:rsid w:val="00DA3B9B"/>
    <w:rsid w:val="00DA4F3D"/>
    <w:rsid w:val="00DA5A70"/>
    <w:rsid w:val="00DA5AF4"/>
    <w:rsid w:val="00DB424E"/>
    <w:rsid w:val="00DC28BD"/>
    <w:rsid w:val="00DC2AD0"/>
    <w:rsid w:val="00DC3F18"/>
    <w:rsid w:val="00DC4EAE"/>
    <w:rsid w:val="00DC5162"/>
    <w:rsid w:val="00DD08BB"/>
    <w:rsid w:val="00DD1941"/>
    <w:rsid w:val="00DD3089"/>
    <w:rsid w:val="00DD3425"/>
    <w:rsid w:val="00DD63EC"/>
    <w:rsid w:val="00DE00D7"/>
    <w:rsid w:val="00DE2C44"/>
    <w:rsid w:val="00DE6583"/>
    <w:rsid w:val="00DE7182"/>
    <w:rsid w:val="00DE71DA"/>
    <w:rsid w:val="00DF42D0"/>
    <w:rsid w:val="00E01F52"/>
    <w:rsid w:val="00E02730"/>
    <w:rsid w:val="00E15801"/>
    <w:rsid w:val="00E15A3F"/>
    <w:rsid w:val="00E15FB8"/>
    <w:rsid w:val="00E220F1"/>
    <w:rsid w:val="00E22DFA"/>
    <w:rsid w:val="00E24BD8"/>
    <w:rsid w:val="00E2721D"/>
    <w:rsid w:val="00E35B04"/>
    <w:rsid w:val="00E40502"/>
    <w:rsid w:val="00E40A3B"/>
    <w:rsid w:val="00E40EF8"/>
    <w:rsid w:val="00E4229F"/>
    <w:rsid w:val="00E469D9"/>
    <w:rsid w:val="00E473AE"/>
    <w:rsid w:val="00E51452"/>
    <w:rsid w:val="00E57614"/>
    <w:rsid w:val="00E61193"/>
    <w:rsid w:val="00E63F05"/>
    <w:rsid w:val="00E70381"/>
    <w:rsid w:val="00E73907"/>
    <w:rsid w:val="00E757F6"/>
    <w:rsid w:val="00E80308"/>
    <w:rsid w:val="00E80E6A"/>
    <w:rsid w:val="00E8200C"/>
    <w:rsid w:val="00E821B8"/>
    <w:rsid w:val="00E82457"/>
    <w:rsid w:val="00E831FA"/>
    <w:rsid w:val="00E8385E"/>
    <w:rsid w:val="00E844AA"/>
    <w:rsid w:val="00E85824"/>
    <w:rsid w:val="00E866B2"/>
    <w:rsid w:val="00E86E32"/>
    <w:rsid w:val="00E87A4B"/>
    <w:rsid w:val="00E93DE3"/>
    <w:rsid w:val="00E960FB"/>
    <w:rsid w:val="00E9773D"/>
    <w:rsid w:val="00E97A00"/>
    <w:rsid w:val="00E97E06"/>
    <w:rsid w:val="00EA1959"/>
    <w:rsid w:val="00EA68EF"/>
    <w:rsid w:val="00EB0143"/>
    <w:rsid w:val="00EB06A6"/>
    <w:rsid w:val="00EB1E5A"/>
    <w:rsid w:val="00EB4C2A"/>
    <w:rsid w:val="00EB52D8"/>
    <w:rsid w:val="00EB6DF6"/>
    <w:rsid w:val="00EB7B55"/>
    <w:rsid w:val="00EC3155"/>
    <w:rsid w:val="00EC45CF"/>
    <w:rsid w:val="00EC7301"/>
    <w:rsid w:val="00ED13AC"/>
    <w:rsid w:val="00ED3A2E"/>
    <w:rsid w:val="00ED3CE8"/>
    <w:rsid w:val="00EE3F37"/>
    <w:rsid w:val="00EE46D4"/>
    <w:rsid w:val="00EE5438"/>
    <w:rsid w:val="00EF00A3"/>
    <w:rsid w:val="00EF0FC2"/>
    <w:rsid w:val="00EF17E7"/>
    <w:rsid w:val="00EF2D2E"/>
    <w:rsid w:val="00EF6488"/>
    <w:rsid w:val="00F00714"/>
    <w:rsid w:val="00F044BB"/>
    <w:rsid w:val="00F05E7C"/>
    <w:rsid w:val="00F11074"/>
    <w:rsid w:val="00F14C19"/>
    <w:rsid w:val="00F152BE"/>
    <w:rsid w:val="00F15998"/>
    <w:rsid w:val="00F27B1D"/>
    <w:rsid w:val="00F27DD0"/>
    <w:rsid w:val="00F320A5"/>
    <w:rsid w:val="00F34A47"/>
    <w:rsid w:val="00F401C3"/>
    <w:rsid w:val="00F44E93"/>
    <w:rsid w:val="00F45623"/>
    <w:rsid w:val="00F46750"/>
    <w:rsid w:val="00F5296D"/>
    <w:rsid w:val="00F55459"/>
    <w:rsid w:val="00F55474"/>
    <w:rsid w:val="00F61C14"/>
    <w:rsid w:val="00F6206E"/>
    <w:rsid w:val="00F62A68"/>
    <w:rsid w:val="00F64E64"/>
    <w:rsid w:val="00F65495"/>
    <w:rsid w:val="00F6604E"/>
    <w:rsid w:val="00F67997"/>
    <w:rsid w:val="00F72955"/>
    <w:rsid w:val="00F75D73"/>
    <w:rsid w:val="00F81909"/>
    <w:rsid w:val="00F8214C"/>
    <w:rsid w:val="00F86656"/>
    <w:rsid w:val="00F87338"/>
    <w:rsid w:val="00F87BFB"/>
    <w:rsid w:val="00F9380C"/>
    <w:rsid w:val="00F93D61"/>
    <w:rsid w:val="00FA019D"/>
    <w:rsid w:val="00FA0FD4"/>
    <w:rsid w:val="00FA281C"/>
    <w:rsid w:val="00FA4B2E"/>
    <w:rsid w:val="00FA51C9"/>
    <w:rsid w:val="00FA6729"/>
    <w:rsid w:val="00FB422C"/>
    <w:rsid w:val="00FB6568"/>
    <w:rsid w:val="00FB6ED8"/>
    <w:rsid w:val="00FC01A2"/>
    <w:rsid w:val="00FC222A"/>
    <w:rsid w:val="00FC4333"/>
    <w:rsid w:val="00FD2AE5"/>
    <w:rsid w:val="00FD5442"/>
    <w:rsid w:val="00FD7F6A"/>
    <w:rsid w:val="00FE4193"/>
    <w:rsid w:val="00FE41EA"/>
    <w:rsid w:val="00FE6D85"/>
    <w:rsid w:val="00FF29DF"/>
    <w:rsid w:val="00FF379E"/>
    <w:rsid w:val="00FF4355"/>
    <w:rsid w:val="00FF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022697"/>
  <w15:chartTrackingRefBased/>
  <w15:docId w15:val="{E3BDEAA5-9249-43DD-8D42-7C50490C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0646"/>
    <w:pPr>
      <w:spacing w:after="120"/>
    </w:pPr>
    <w:rPr>
      <w:rFonts w:eastAsia="Times New Roman"/>
      <w:sz w:val="24"/>
    </w:rPr>
  </w:style>
  <w:style w:type="paragraph" w:styleId="Heading1">
    <w:name w:val="heading 1"/>
    <w:aliases w:val="Heading 1/Title"/>
    <w:next w:val="Subtitle"/>
    <w:link w:val="Heading1Char"/>
    <w:qFormat/>
    <w:rsid w:val="00150646"/>
    <w:pPr>
      <w:spacing w:before="2880"/>
      <w:jc w:val="center"/>
      <w:outlineLvl w:val="0"/>
    </w:pPr>
    <w:rPr>
      <w:rFonts w:ascii="Franklin Gothic Demi" w:eastAsia="Times New Roman" w:hAnsi="Franklin Gothic Demi"/>
      <w:sz w:val="40"/>
    </w:rPr>
  </w:style>
  <w:style w:type="paragraph" w:styleId="Heading2">
    <w:name w:val="heading 2"/>
    <w:basedOn w:val="Normal"/>
    <w:next w:val="Normal"/>
    <w:link w:val="Heading2Char"/>
    <w:qFormat/>
    <w:rsid w:val="00150646"/>
    <w:pPr>
      <w:keepNext/>
      <w:pageBreakBefore/>
      <w:spacing w:before="360" w:after="240"/>
      <w:jc w:val="center"/>
      <w:outlineLvl w:val="1"/>
    </w:pPr>
    <w:rPr>
      <w:rFonts w:ascii="Arial" w:hAnsi="Arial"/>
      <w:b/>
      <w:sz w:val="36"/>
      <w:szCs w:val="32"/>
    </w:rPr>
  </w:style>
  <w:style w:type="paragraph" w:styleId="Heading3">
    <w:name w:val="heading 3"/>
    <w:basedOn w:val="Normal"/>
    <w:next w:val="Normal"/>
    <w:link w:val="Heading3Char"/>
    <w:qFormat/>
    <w:rsid w:val="00150646"/>
    <w:pPr>
      <w:keepNext/>
      <w:spacing w:before="360" w:after="240"/>
      <w:outlineLvl w:val="2"/>
    </w:pPr>
    <w:rPr>
      <w:rFonts w:ascii="Arial" w:hAnsi="Arial"/>
      <w:b/>
      <w:sz w:val="32"/>
      <w:szCs w:val="28"/>
    </w:rPr>
  </w:style>
  <w:style w:type="paragraph" w:styleId="Heading4">
    <w:name w:val="heading 4"/>
    <w:basedOn w:val="Normal"/>
    <w:next w:val="Normal"/>
    <w:link w:val="Heading4Char"/>
    <w:qFormat/>
    <w:rsid w:val="00150646"/>
    <w:pPr>
      <w:keepNext/>
      <w:spacing w:before="240" w:after="60"/>
      <w:outlineLvl w:val="3"/>
    </w:pPr>
    <w:rPr>
      <w:rFonts w:ascii="Arial" w:hAnsi="Arial"/>
      <w:b/>
      <w:sz w:val="28"/>
    </w:rPr>
  </w:style>
  <w:style w:type="paragraph" w:styleId="Heading5">
    <w:name w:val="heading 5"/>
    <w:basedOn w:val="Normal"/>
    <w:next w:val="Normal"/>
    <w:link w:val="Heading5Char"/>
    <w:qFormat/>
    <w:rsid w:val="00150646"/>
    <w:pPr>
      <w:keepNext/>
      <w:spacing w:before="240" w:after="0"/>
      <w:outlineLvl w:val="4"/>
    </w:pPr>
    <w:rPr>
      <w:rFonts w:ascii="Cambria" w:hAnsi="Cambria"/>
      <w:b/>
    </w:rPr>
  </w:style>
  <w:style w:type="paragraph" w:styleId="Heading6">
    <w:name w:val="heading 6"/>
    <w:basedOn w:val="Normal"/>
    <w:next w:val="Normal"/>
    <w:link w:val="Heading6Char"/>
    <w:autoRedefine/>
    <w:qFormat/>
    <w:rsid w:val="0040491F"/>
    <w:pPr>
      <w:keepNext/>
      <w:spacing w:before="120" w:after="0"/>
      <w:outlineLvl w:val="5"/>
    </w:pPr>
    <w:rPr>
      <w:rFonts w:ascii="Calibri" w:hAnsi="Calibri"/>
      <w:b/>
    </w:rPr>
  </w:style>
  <w:style w:type="paragraph" w:styleId="Heading7">
    <w:name w:val="heading 7"/>
    <w:basedOn w:val="Normal"/>
    <w:next w:val="Normal"/>
    <w:link w:val="Heading7Char"/>
    <w:qFormat/>
    <w:rsid w:val="00D64301"/>
    <w:pPr>
      <w:keepNext/>
      <w:spacing w:before="360"/>
      <w:outlineLvl w:val="6"/>
    </w:pPr>
    <w:rPr>
      <w:rFonts w:ascii="Calibri" w:hAnsi="Calibri"/>
      <w:b/>
      <w:i/>
    </w:rPr>
  </w:style>
  <w:style w:type="paragraph" w:styleId="Heading8">
    <w:name w:val="heading 8"/>
    <w:basedOn w:val="Normal"/>
    <w:next w:val="Normal"/>
    <w:link w:val="Heading8Char"/>
    <w:rsid w:val="00150646"/>
    <w:pPr>
      <w:keepNext/>
      <w:ind w:left="720" w:right="720"/>
      <w:jc w:val="center"/>
      <w:outlineLvl w:val="7"/>
    </w:pPr>
    <w:rPr>
      <w:i/>
    </w:rPr>
  </w:style>
  <w:style w:type="paragraph" w:styleId="Heading9">
    <w:name w:val="heading 9"/>
    <w:basedOn w:val="Normal"/>
    <w:next w:val="Normal"/>
    <w:link w:val="Heading9Char"/>
    <w:rsid w:val="00150646"/>
    <w:pPr>
      <w:keepNext/>
      <w:tabs>
        <w:tab w:val="left" w:pos="-1440"/>
        <w:tab w:val="left" w:pos="-720"/>
        <w:tab w:val="left" w:pos="0"/>
        <w:tab w:val="left" w:pos="360"/>
        <w:tab w:val="left" w:pos="1440"/>
      </w:tabs>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50646"/>
    <w:pPr>
      <w:pBdr>
        <w:top w:val="nil"/>
        <w:left w:val="nil"/>
        <w:bottom w:val="nil"/>
        <w:right w:val="nil"/>
        <w:between w:val="nil"/>
        <w:bar w:val="nil"/>
      </w:pBdr>
      <w:spacing w:after="5" w:line="247" w:lineRule="auto"/>
      <w:ind w:left="1454" w:hanging="14"/>
    </w:pPr>
    <w:rPr>
      <w:rFonts w:eastAsia="Times New Roman"/>
      <w:color w:val="000000"/>
      <w:sz w:val="24"/>
      <w:szCs w:val="24"/>
      <w:u w:color="000000"/>
      <w:bdr w:val="nil"/>
    </w:rPr>
  </w:style>
  <w:style w:type="character" w:customStyle="1" w:styleId="Heading2Char">
    <w:name w:val="Heading 2 Char"/>
    <w:basedOn w:val="DefaultParagraphFont"/>
    <w:link w:val="Heading2"/>
    <w:rsid w:val="00150646"/>
    <w:rPr>
      <w:rFonts w:ascii="Arial" w:eastAsia="Times New Roman" w:hAnsi="Arial"/>
      <w:b/>
      <w:sz w:val="36"/>
      <w:szCs w:val="32"/>
    </w:rPr>
  </w:style>
  <w:style w:type="character" w:customStyle="1" w:styleId="Heading4Char">
    <w:name w:val="Heading 4 Char"/>
    <w:basedOn w:val="DefaultParagraphFont"/>
    <w:link w:val="Heading4"/>
    <w:rsid w:val="00150646"/>
    <w:rPr>
      <w:rFonts w:ascii="Arial" w:eastAsia="Times New Roman" w:hAnsi="Arial"/>
      <w:b/>
      <w:sz w:val="28"/>
    </w:rPr>
  </w:style>
  <w:style w:type="numbering" w:customStyle="1" w:styleId="Appendices">
    <w:name w:val="Appendices"/>
    <w:uiPriority w:val="99"/>
    <w:rsid w:val="00150646"/>
    <w:pPr>
      <w:numPr>
        <w:numId w:val="1"/>
      </w:numPr>
    </w:pPr>
  </w:style>
  <w:style w:type="paragraph" w:styleId="BalloonText">
    <w:name w:val="Balloon Text"/>
    <w:basedOn w:val="Normal"/>
    <w:link w:val="BalloonTextChar"/>
    <w:semiHidden/>
    <w:rsid w:val="00150646"/>
    <w:rPr>
      <w:rFonts w:ascii="Tahoma" w:hAnsi="Tahoma" w:cs="Tahoma"/>
      <w:sz w:val="16"/>
      <w:szCs w:val="16"/>
    </w:rPr>
  </w:style>
  <w:style w:type="character" w:customStyle="1" w:styleId="BalloonTextChar">
    <w:name w:val="Balloon Text Char"/>
    <w:basedOn w:val="DefaultParagraphFont"/>
    <w:link w:val="BalloonText"/>
    <w:semiHidden/>
    <w:rsid w:val="00150646"/>
    <w:rPr>
      <w:rFonts w:ascii="Tahoma" w:eastAsia="Times New Roman" w:hAnsi="Tahoma" w:cs="Tahoma"/>
      <w:sz w:val="16"/>
      <w:szCs w:val="16"/>
    </w:rPr>
  </w:style>
  <w:style w:type="paragraph" w:styleId="Bibliography">
    <w:name w:val="Bibliography"/>
    <w:basedOn w:val="Normal"/>
    <w:next w:val="Normal"/>
    <w:uiPriority w:val="37"/>
    <w:semiHidden/>
    <w:unhideWhenUsed/>
    <w:rsid w:val="00150646"/>
  </w:style>
  <w:style w:type="paragraph" w:styleId="BlockText">
    <w:name w:val="Block Text"/>
    <w:basedOn w:val="Normal"/>
    <w:semiHidden/>
    <w:rsid w:val="00150646"/>
    <w:pPr>
      <w:widowControl w:val="0"/>
      <w:ind w:left="720" w:right="720"/>
      <w:jc w:val="center"/>
    </w:pPr>
    <w:rPr>
      <w:i/>
      <w:snapToGrid w:val="0"/>
    </w:rPr>
  </w:style>
  <w:style w:type="paragraph" w:styleId="BodyText">
    <w:name w:val="Body Text"/>
    <w:basedOn w:val="Normal"/>
    <w:link w:val="BodyTextChar"/>
    <w:semiHidden/>
    <w:rsid w:val="00150646"/>
    <w:pPr>
      <w:tabs>
        <w:tab w:val="left" w:pos="-1440"/>
        <w:tab w:val="left" w:pos="-720"/>
        <w:tab w:val="left" w:pos="-360"/>
        <w:tab w:val="left" w:pos="360"/>
        <w:tab w:val="left" w:pos="1440"/>
      </w:tabs>
      <w:suppressAutoHyphens/>
      <w:ind w:right="-180"/>
    </w:pPr>
  </w:style>
  <w:style w:type="character" w:customStyle="1" w:styleId="BodyTextChar">
    <w:name w:val="Body Text Char"/>
    <w:basedOn w:val="DefaultParagraphFont"/>
    <w:link w:val="BodyText"/>
    <w:semiHidden/>
    <w:rsid w:val="00150646"/>
    <w:rPr>
      <w:rFonts w:eastAsia="Times New Roman"/>
      <w:sz w:val="24"/>
    </w:rPr>
  </w:style>
  <w:style w:type="paragraph" w:styleId="BodyText2">
    <w:name w:val="Body Text 2"/>
    <w:basedOn w:val="Normal"/>
    <w:link w:val="BodyText2Char"/>
    <w:semiHidden/>
    <w:rsid w:val="00150646"/>
    <w:pPr>
      <w:spacing w:line="480" w:lineRule="auto"/>
    </w:pPr>
  </w:style>
  <w:style w:type="character" w:customStyle="1" w:styleId="BodyText2Char">
    <w:name w:val="Body Text 2 Char"/>
    <w:basedOn w:val="DefaultParagraphFont"/>
    <w:link w:val="BodyText2"/>
    <w:semiHidden/>
    <w:rsid w:val="00150646"/>
    <w:rPr>
      <w:rFonts w:eastAsia="Times New Roman"/>
      <w:sz w:val="24"/>
    </w:rPr>
  </w:style>
  <w:style w:type="paragraph" w:styleId="BodyText3">
    <w:name w:val="Body Text 3"/>
    <w:basedOn w:val="Normal"/>
    <w:link w:val="BodyText3Char"/>
    <w:semiHidden/>
    <w:unhideWhenUsed/>
    <w:rsid w:val="00150646"/>
    <w:rPr>
      <w:sz w:val="16"/>
      <w:szCs w:val="16"/>
    </w:rPr>
  </w:style>
  <w:style w:type="character" w:customStyle="1" w:styleId="BodyText3Char">
    <w:name w:val="Body Text 3 Char"/>
    <w:basedOn w:val="DefaultParagraphFont"/>
    <w:link w:val="BodyText3"/>
    <w:semiHidden/>
    <w:rsid w:val="00150646"/>
    <w:rPr>
      <w:rFonts w:eastAsia="Times New Roman"/>
      <w:sz w:val="16"/>
      <w:szCs w:val="16"/>
    </w:rPr>
  </w:style>
  <w:style w:type="paragraph" w:styleId="BodyTextFirstIndent">
    <w:name w:val="Body Text First Indent"/>
    <w:basedOn w:val="BodyText"/>
    <w:link w:val="BodyTextFirstIndentChar"/>
    <w:rsid w:val="00150646"/>
    <w:pPr>
      <w:tabs>
        <w:tab w:val="clear" w:pos="-1440"/>
        <w:tab w:val="clear" w:pos="-720"/>
        <w:tab w:val="clear" w:pos="-360"/>
        <w:tab w:val="clear" w:pos="360"/>
        <w:tab w:val="clear" w:pos="1440"/>
      </w:tabs>
      <w:suppressAutoHyphens w:val="0"/>
      <w:ind w:right="0" w:firstLine="360"/>
    </w:pPr>
  </w:style>
  <w:style w:type="character" w:customStyle="1" w:styleId="BodyTextFirstIndentChar">
    <w:name w:val="Body Text First Indent Char"/>
    <w:basedOn w:val="BodyTextChar"/>
    <w:link w:val="BodyTextFirstIndent"/>
    <w:rsid w:val="00150646"/>
    <w:rPr>
      <w:rFonts w:eastAsia="Times New Roman"/>
      <w:sz w:val="24"/>
    </w:rPr>
  </w:style>
  <w:style w:type="paragraph" w:styleId="BodyTextIndent">
    <w:name w:val="Body Text Indent"/>
    <w:basedOn w:val="Normal"/>
    <w:link w:val="BodyTextIndentChar"/>
    <w:semiHidden/>
    <w:rsid w:val="00150646"/>
    <w:pPr>
      <w:tabs>
        <w:tab w:val="center" w:pos="4860"/>
      </w:tabs>
      <w:suppressAutoHyphens/>
      <w:ind w:left="360" w:hanging="360"/>
    </w:pPr>
  </w:style>
  <w:style w:type="character" w:customStyle="1" w:styleId="BodyTextIndentChar">
    <w:name w:val="Body Text Indent Char"/>
    <w:basedOn w:val="DefaultParagraphFont"/>
    <w:link w:val="BodyTextIndent"/>
    <w:semiHidden/>
    <w:rsid w:val="00150646"/>
    <w:rPr>
      <w:rFonts w:eastAsia="Times New Roman"/>
      <w:sz w:val="24"/>
    </w:rPr>
  </w:style>
  <w:style w:type="paragraph" w:styleId="BodyTextFirstIndent2">
    <w:name w:val="Body Text First Indent 2"/>
    <w:basedOn w:val="BodyTextIndent"/>
    <w:link w:val="BodyTextFirstIndent2Char"/>
    <w:semiHidden/>
    <w:unhideWhenUsed/>
    <w:rsid w:val="00150646"/>
    <w:pPr>
      <w:tabs>
        <w:tab w:val="clear" w:pos="4860"/>
      </w:tabs>
      <w:suppressAutoHyphens w:val="0"/>
      <w:ind w:firstLine="360"/>
    </w:pPr>
  </w:style>
  <w:style w:type="character" w:customStyle="1" w:styleId="BodyTextFirstIndent2Char">
    <w:name w:val="Body Text First Indent 2 Char"/>
    <w:basedOn w:val="BodyTextIndentChar"/>
    <w:link w:val="BodyTextFirstIndent2"/>
    <w:semiHidden/>
    <w:rsid w:val="00150646"/>
    <w:rPr>
      <w:rFonts w:eastAsia="Times New Roman"/>
      <w:sz w:val="24"/>
    </w:rPr>
  </w:style>
  <w:style w:type="paragraph" w:styleId="BodyTextIndent2">
    <w:name w:val="Body Text Indent 2"/>
    <w:basedOn w:val="Normal"/>
    <w:link w:val="BodyTextIndent2Char"/>
    <w:semiHidden/>
    <w:unhideWhenUsed/>
    <w:rsid w:val="00150646"/>
    <w:pPr>
      <w:spacing w:line="480" w:lineRule="auto"/>
      <w:ind w:left="360"/>
    </w:pPr>
  </w:style>
  <w:style w:type="character" w:customStyle="1" w:styleId="BodyTextIndent2Char">
    <w:name w:val="Body Text Indent 2 Char"/>
    <w:basedOn w:val="DefaultParagraphFont"/>
    <w:link w:val="BodyTextIndent2"/>
    <w:semiHidden/>
    <w:rsid w:val="00150646"/>
    <w:rPr>
      <w:rFonts w:eastAsia="Times New Roman"/>
      <w:sz w:val="24"/>
    </w:rPr>
  </w:style>
  <w:style w:type="paragraph" w:styleId="BodyTextIndent3">
    <w:name w:val="Body Text Indent 3"/>
    <w:basedOn w:val="Normal"/>
    <w:link w:val="BodyTextIndent3Char"/>
    <w:rsid w:val="00150646"/>
    <w:pPr>
      <w:ind w:left="360"/>
    </w:pPr>
    <w:rPr>
      <w:sz w:val="16"/>
      <w:szCs w:val="16"/>
    </w:rPr>
  </w:style>
  <w:style w:type="character" w:customStyle="1" w:styleId="BodyTextIndent3Char">
    <w:name w:val="Body Text Indent 3 Char"/>
    <w:basedOn w:val="DefaultParagraphFont"/>
    <w:link w:val="BodyTextIndent3"/>
    <w:rsid w:val="00150646"/>
    <w:rPr>
      <w:rFonts w:eastAsia="Times New Roman"/>
      <w:sz w:val="16"/>
      <w:szCs w:val="16"/>
    </w:rPr>
  </w:style>
  <w:style w:type="paragraph" w:styleId="ListParagraph">
    <w:name w:val="List Paragraph"/>
    <w:basedOn w:val="Normal"/>
    <w:link w:val="ListParagraphChar"/>
    <w:uiPriority w:val="1"/>
    <w:qFormat/>
    <w:rsid w:val="00150646"/>
    <w:pPr>
      <w:spacing w:before="120" w:line="259" w:lineRule="auto"/>
    </w:pPr>
  </w:style>
  <w:style w:type="character" w:customStyle="1" w:styleId="ListParagraphChar">
    <w:name w:val="List Paragraph Char"/>
    <w:basedOn w:val="DefaultParagraphFont"/>
    <w:link w:val="ListParagraph"/>
    <w:uiPriority w:val="1"/>
    <w:rsid w:val="00150646"/>
    <w:rPr>
      <w:rFonts w:eastAsia="Times New Roman"/>
      <w:sz w:val="24"/>
    </w:rPr>
  </w:style>
  <w:style w:type="paragraph" w:customStyle="1" w:styleId="BulletedList">
    <w:name w:val="Bulleted List"/>
    <w:basedOn w:val="ListParagraph"/>
    <w:link w:val="BulletedListChar"/>
    <w:qFormat/>
    <w:rsid w:val="00150646"/>
    <w:pPr>
      <w:numPr>
        <w:numId w:val="20"/>
      </w:numPr>
    </w:pPr>
    <w:rPr>
      <w:rFonts w:ascii="Calibri" w:hAnsi="Calibri"/>
    </w:rPr>
  </w:style>
  <w:style w:type="character" w:customStyle="1" w:styleId="BulletedListChar">
    <w:name w:val="Bulleted List Char"/>
    <w:basedOn w:val="ListParagraphChar"/>
    <w:link w:val="BulletedList"/>
    <w:rsid w:val="00150646"/>
    <w:rPr>
      <w:rFonts w:ascii="Calibri" w:eastAsia="Times New Roman" w:hAnsi="Calibri"/>
      <w:sz w:val="24"/>
    </w:rPr>
  </w:style>
  <w:style w:type="paragraph" w:styleId="Caption">
    <w:name w:val="caption"/>
    <w:next w:val="Normal"/>
    <w:link w:val="CaptionChar"/>
    <w:uiPriority w:val="35"/>
    <w:unhideWhenUsed/>
    <w:rsid w:val="00150646"/>
    <w:pPr>
      <w:spacing w:before="240" w:after="360"/>
    </w:pPr>
    <w:rPr>
      <w:rFonts w:ascii="Arial" w:eastAsia="Times New Roman" w:hAnsi="Arial"/>
      <w:b/>
      <w:bCs/>
      <w:szCs w:val="18"/>
    </w:rPr>
  </w:style>
  <w:style w:type="character" w:customStyle="1" w:styleId="CaptionChar">
    <w:name w:val="Caption Char"/>
    <w:basedOn w:val="DefaultParagraphFont"/>
    <w:link w:val="Caption"/>
    <w:uiPriority w:val="35"/>
    <w:rsid w:val="00150646"/>
    <w:rPr>
      <w:rFonts w:ascii="Arial" w:eastAsia="Times New Roman" w:hAnsi="Arial"/>
      <w:b/>
      <w:bCs/>
      <w:szCs w:val="18"/>
    </w:rPr>
  </w:style>
  <w:style w:type="paragraph" w:styleId="Closing">
    <w:name w:val="Closing"/>
    <w:basedOn w:val="Normal"/>
    <w:link w:val="ClosingChar"/>
    <w:semiHidden/>
    <w:unhideWhenUsed/>
    <w:rsid w:val="00150646"/>
    <w:pPr>
      <w:spacing w:after="0"/>
      <w:ind w:left="4320"/>
    </w:pPr>
  </w:style>
  <w:style w:type="character" w:customStyle="1" w:styleId="ClosingChar">
    <w:name w:val="Closing Char"/>
    <w:basedOn w:val="DefaultParagraphFont"/>
    <w:link w:val="Closing"/>
    <w:semiHidden/>
    <w:rsid w:val="00150646"/>
    <w:rPr>
      <w:rFonts w:eastAsia="Times New Roman"/>
      <w:sz w:val="24"/>
    </w:rPr>
  </w:style>
  <w:style w:type="character" w:styleId="CommentReference">
    <w:name w:val="annotation reference"/>
    <w:basedOn w:val="DefaultParagraphFont"/>
    <w:semiHidden/>
    <w:rsid w:val="00150646"/>
    <w:rPr>
      <w:sz w:val="16"/>
      <w:szCs w:val="16"/>
    </w:rPr>
  </w:style>
  <w:style w:type="paragraph" w:styleId="CommentText">
    <w:name w:val="annotation text"/>
    <w:basedOn w:val="Normal"/>
    <w:link w:val="CommentTextChar"/>
    <w:rsid w:val="00150646"/>
    <w:rPr>
      <w:sz w:val="20"/>
    </w:rPr>
  </w:style>
  <w:style w:type="character" w:customStyle="1" w:styleId="CommentTextChar">
    <w:name w:val="Comment Text Char"/>
    <w:basedOn w:val="DefaultParagraphFont"/>
    <w:link w:val="CommentText"/>
    <w:rsid w:val="00150646"/>
    <w:rPr>
      <w:rFonts w:eastAsia="Times New Roman"/>
    </w:rPr>
  </w:style>
  <w:style w:type="paragraph" w:styleId="CommentSubject">
    <w:name w:val="annotation subject"/>
    <w:basedOn w:val="CommentText"/>
    <w:next w:val="CommentText"/>
    <w:link w:val="CommentSubjectChar"/>
    <w:semiHidden/>
    <w:rsid w:val="00150646"/>
    <w:rPr>
      <w:b/>
      <w:bCs/>
    </w:rPr>
  </w:style>
  <w:style w:type="character" w:customStyle="1" w:styleId="CommentSubjectChar">
    <w:name w:val="Comment Subject Char"/>
    <w:basedOn w:val="CommentTextChar"/>
    <w:link w:val="CommentSubject"/>
    <w:semiHidden/>
    <w:rsid w:val="00150646"/>
    <w:rPr>
      <w:rFonts w:eastAsia="Times New Roman"/>
      <w:b/>
      <w:bCs/>
    </w:rPr>
  </w:style>
  <w:style w:type="paragraph" w:styleId="Date">
    <w:name w:val="Date"/>
    <w:basedOn w:val="Normal"/>
    <w:next w:val="Normal"/>
    <w:link w:val="DateChar"/>
    <w:rsid w:val="00150646"/>
  </w:style>
  <w:style w:type="character" w:customStyle="1" w:styleId="DateChar">
    <w:name w:val="Date Char"/>
    <w:basedOn w:val="DefaultParagraphFont"/>
    <w:link w:val="Date"/>
    <w:rsid w:val="00150646"/>
    <w:rPr>
      <w:rFonts w:eastAsia="Times New Roman"/>
      <w:sz w:val="24"/>
    </w:rPr>
  </w:style>
  <w:style w:type="paragraph" w:customStyle="1" w:styleId="Default">
    <w:name w:val="Default"/>
    <w:rsid w:val="00150646"/>
    <w:pPr>
      <w:autoSpaceDE w:val="0"/>
      <w:autoSpaceDN w:val="0"/>
      <w:adjustRightInd w:val="0"/>
    </w:pPr>
    <w:rPr>
      <w:rFonts w:eastAsia="Times New Roman"/>
      <w:color w:val="000000"/>
      <w:sz w:val="24"/>
      <w:szCs w:val="24"/>
    </w:rPr>
  </w:style>
  <w:style w:type="paragraph" w:styleId="DocumentMap">
    <w:name w:val="Document Map"/>
    <w:basedOn w:val="Normal"/>
    <w:link w:val="DocumentMapChar"/>
    <w:semiHidden/>
    <w:unhideWhenUsed/>
    <w:rsid w:val="0015064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50646"/>
    <w:rPr>
      <w:rFonts w:ascii="Segoe UI" w:eastAsia="Times New Roman" w:hAnsi="Segoe UI" w:cs="Segoe UI"/>
      <w:sz w:val="16"/>
      <w:szCs w:val="16"/>
    </w:rPr>
  </w:style>
  <w:style w:type="paragraph" w:styleId="E-mailSignature">
    <w:name w:val="E-mail Signature"/>
    <w:basedOn w:val="Normal"/>
    <w:link w:val="E-mailSignatureChar"/>
    <w:semiHidden/>
    <w:unhideWhenUsed/>
    <w:rsid w:val="00150646"/>
    <w:pPr>
      <w:spacing w:after="0"/>
    </w:pPr>
  </w:style>
  <w:style w:type="character" w:customStyle="1" w:styleId="E-mailSignatureChar">
    <w:name w:val="E-mail Signature Char"/>
    <w:basedOn w:val="DefaultParagraphFont"/>
    <w:link w:val="E-mailSignature"/>
    <w:semiHidden/>
    <w:rsid w:val="00150646"/>
    <w:rPr>
      <w:rFonts w:eastAsia="Times New Roman"/>
      <w:sz w:val="24"/>
    </w:rPr>
  </w:style>
  <w:style w:type="character" w:styleId="Emphasis">
    <w:name w:val="Emphasis"/>
    <w:basedOn w:val="DefaultParagraphFont"/>
    <w:rsid w:val="00150646"/>
    <w:rPr>
      <w:i/>
      <w:iCs/>
    </w:rPr>
  </w:style>
  <w:style w:type="paragraph" w:styleId="EndnoteText">
    <w:name w:val="endnote text"/>
    <w:basedOn w:val="Normal"/>
    <w:link w:val="EndnoteTextChar"/>
    <w:semiHidden/>
    <w:rsid w:val="00150646"/>
  </w:style>
  <w:style w:type="character" w:customStyle="1" w:styleId="EndnoteTextChar">
    <w:name w:val="Endnote Text Char"/>
    <w:basedOn w:val="DefaultParagraphFont"/>
    <w:link w:val="EndnoteText"/>
    <w:semiHidden/>
    <w:rsid w:val="00150646"/>
    <w:rPr>
      <w:rFonts w:eastAsia="Times New Roman"/>
      <w:sz w:val="24"/>
    </w:rPr>
  </w:style>
  <w:style w:type="paragraph" w:styleId="EnvelopeAddress">
    <w:name w:val="envelope address"/>
    <w:basedOn w:val="Normal"/>
    <w:semiHidden/>
    <w:unhideWhenUsed/>
    <w:rsid w:val="00150646"/>
    <w:pPr>
      <w:framePr w:w="7920" w:h="1980" w:hRule="exact" w:hSpace="180" w:wrap="auto" w:hAnchor="page" w:xAlign="center" w:yAlign="bottom"/>
      <w:spacing w:after="0"/>
      <w:ind w:left="2880"/>
    </w:pPr>
    <w:rPr>
      <w:szCs w:val="24"/>
    </w:rPr>
  </w:style>
  <w:style w:type="paragraph" w:styleId="EnvelopeReturn">
    <w:name w:val="envelope return"/>
    <w:basedOn w:val="Normal"/>
    <w:semiHidden/>
    <w:unhideWhenUsed/>
    <w:rsid w:val="00150646"/>
    <w:pPr>
      <w:spacing w:after="0"/>
    </w:pPr>
    <w:rPr>
      <w:sz w:val="20"/>
    </w:rPr>
  </w:style>
  <w:style w:type="paragraph" w:customStyle="1" w:styleId="FigureCaption">
    <w:name w:val="Figure Caption"/>
    <w:basedOn w:val="Caption"/>
    <w:next w:val="Normal"/>
    <w:link w:val="FigureCaptionChar"/>
    <w:qFormat/>
    <w:rsid w:val="00150646"/>
    <w:pPr>
      <w:spacing w:before="120"/>
    </w:pPr>
  </w:style>
  <w:style w:type="character" w:customStyle="1" w:styleId="FigureCaptionChar">
    <w:name w:val="Figure Caption Char"/>
    <w:basedOn w:val="CaptionChar"/>
    <w:link w:val="FigureCaption"/>
    <w:rsid w:val="00150646"/>
    <w:rPr>
      <w:rFonts w:ascii="Arial" w:eastAsia="Times New Roman" w:hAnsi="Arial"/>
      <w:b/>
      <w:bCs/>
      <w:szCs w:val="18"/>
    </w:rPr>
  </w:style>
  <w:style w:type="character" w:styleId="FollowedHyperlink">
    <w:name w:val="FollowedHyperlink"/>
    <w:basedOn w:val="DefaultParagraphFont"/>
    <w:semiHidden/>
    <w:rsid w:val="00150646"/>
    <w:rPr>
      <w:color w:val="800080"/>
      <w:u w:val="single"/>
    </w:rPr>
  </w:style>
  <w:style w:type="paragraph" w:styleId="Footer">
    <w:name w:val="footer"/>
    <w:basedOn w:val="Normal"/>
    <w:link w:val="FooterChar"/>
    <w:uiPriority w:val="99"/>
    <w:rsid w:val="00150646"/>
    <w:pPr>
      <w:tabs>
        <w:tab w:val="center" w:pos="4320"/>
        <w:tab w:val="right" w:pos="8640"/>
      </w:tabs>
    </w:pPr>
  </w:style>
  <w:style w:type="character" w:customStyle="1" w:styleId="FooterChar">
    <w:name w:val="Footer Char"/>
    <w:basedOn w:val="DefaultParagraphFont"/>
    <w:link w:val="Footer"/>
    <w:uiPriority w:val="99"/>
    <w:rsid w:val="00150646"/>
    <w:rPr>
      <w:rFonts w:eastAsia="Times New Roman"/>
      <w:sz w:val="24"/>
    </w:rPr>
  </w:style>
  <w:style w:type="paragraph" w:styleId="FootnoteText">
    <w:name w:val="footnote text"/>
    <w:basedOn w:val="Normal"/>
    <w:link w:val="FootnoteTextChar"/>
    <w:uiPriority w:val="99"/>
    <w:semiHidden/>
    <w:unhideWhenUsed/>
    <w:rsid w:val="00150646"/>
    <w:pPr>
      <w:spacing w:after="0"/>
    </w:pPr>
    <w:rPr>
      <w:sz w:val="20"/>
    </w:rPr>
  </w:style>
  <w:style w:type="character" w:customStyle="1" w:styleId="FootnoteTextChar">
    <w:name w:val="Footnote Text Char"/>
    <w:basedOn w:val="DefaultParagraphFont"/>
    <w:link w:val="FootnoteText"/>
    <w:semiHidden/>
    <w:rsid w:val="00150646"/>
    <w:rPr>
      <w:rFonts w:eastAsia="Times New Roman"/>
    </w:rPr>
  </w:style>
  <w:style w:type="paragraph" w:customStyle="1" w:styleId="FrontMatterHeading">
    <w:name w:val="Front Matter Heading"/>
    <w:basedOn w:val="Heading2"/>
    <w:qFormat/>
    <w:rsid w:val="00150646"/>
    <w:pPr>
      <w:jc w:val="left"/>
    </w:pPr>
  </w:style>
  <w:style w:type="table" w:styleId="GridTable1Light">
    <w:name w:val="Grid Table 1 Light"/>
    <w:basedOn w:val="TableNormal"/>
    <w:uiPriority w:val="46"/>
    <w:rsid w:val="00150646"/>
    <w:rPr>
      <w:rFonts w:eastAsia="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150646"/>
    <w:rPr>
      <w:rFonts w:eastAsia="Times New Roman"/>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150646"/>
    <w:rPr>
      <w:rFonts w:eastAsia="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150646"/>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150646"/>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rsid w:val="00150646"/>
    <w:pPr>
      <w:tabs>
        <w:tab w:val="center" w:pos="4320"/>
        <w:tab w:val="right" w:pos="8640"/>
      </w:tabs>
    </w:pPr>
  </w:style>
  <w:style w:type="character" w:customStyle="1" w:styleId="HeaderChar">
    <w:name w:val="Header Char"/>
    <w:basedOn w:val="DefaultParagraphFont"/>
    <w:link w:val="Header"/>
    <w:uiPriority w:val="99"/>
    <w:rsid w:val="00150646"/>
    <w:rPr>
      <w:rFonts w:eastAsia="Times New Roman"/>
      <w:sz w:val="24"/>
    </w:rPr>
  </w:style>
  <w:style w:type="character" w:customStyle="1" w:styleId="Heading1Char">
    <w:name w:val="Heading 1 Char"/>
    <w:aliases w:val="Heading 1/Title Char"/>
    <w:basedOn w:val="DefaultParagraphFont"/>
    <w:link w:val="Heading1"/>
    <w:rsid w:val="00150646"/>
    <w:rPr>
      <w:rFonts w:ascii="Franklin Gothic Demi" w:eastAsia="Times New Roman" w:hAnsi="Franklin Gothic Demi"/>
      <w:sz w:val="40"/>
    </w:rPr>
  </w:style>
  <w:style w:type="paragraph" w:styleId="Subtitle">
    <w:name w:val="Subtitle"/>
    <w:basedOn w:val="Heading1"/>
    <w:link w:val="SubtitleChar"/>
    <w:qFormat/>
    <w:rsid w:val="00150646"/>
    <w:pPr>
      <w:spacing w:before="0"/>
      <w:ind w:left="720" w:right="720"/>
    </w:pPr>
    <w:rPr>
      <w:rFonts w:ascii="Book Antiqua" w:hAnsi="Book Antiqua"/>
      <w:b/>
      <w:i/>
      <w:szCs w:val="40"/>
    </w:rPr>
  </w:style>
  <w:style w:type="character" w:customStyle="1" w:styleId="SubtitleChar">
    <w:name w:val="Subtitle Char"/>
    <w:basedOn w:val="DefaultParagraphFont"/>
    <w:link w:val="Subtitle"/>
    <w:rsid w:val="00150646"/>
    <w:rPr>
      <w:rFonts w:ascii="Book Antiqua" w:eastAsia="Times New Roman" w:hAnsi="Book Antiqua"/>
      <w:b/>
      <w:i/>
      <w:sz w:val="40"/>
      <w:szCs w:val="40"/>
    </w:rPr>
  </w:style>
  <w:style w:type="character" w:customStyle="1" w:styleId="Heading3Char">
    <w:name w:val="Heading 3 Char"/>
    <w:basedOn w:val="DefaultParagraphFont"/>
    <w:link w:val="Heading3"/>
    <w:rsid w:val="00150646"/>
    <w:rPr>
      <w:rFonts w:ascii="Arial" w:eastAsia="Times New Roman" w:hAnsi="Arial"/>
      <w:b/>
      <w:sz w:val="32"/>
      <w:szCs w:val="28"/>
    </w:rPr>
  </w:style>
  <w:style w:type="character" w:customStyle="1" w:styleId="Heading5Char">
    <w:name w:val="Heading 5 Char"/>
    <w:basedOn w:val="DefaultParagraphFont"/>
    <w:link w:val="Heading5"/>
    <w:rsid w:val="00150646"/>
    <w:rPr>
      <w:rFonts w:ascii="Cambria" w:eastAsia="Times New Roman" w:hAnsi="Cambria"/>
      <w:b/>
      <w:sz w:val="24"/>
    </w:rPr>
  </w:style>
  <w:style w:type="character" w:customStyle="1" w:styleId="Heading6Char">
    <w:name w:val="Heading 6 Char"/>
    <w:basedOn w:val="DefaultParagraphFont"/>
    <w:link w:val="Heading6"/>
    <w:rsid w:val="0040491F"/>
    <w:rPr>
      <w:rFonts w:ascii="Calibri" w:eastAsia="Times New Roman" w:hAnsi="Calibri"/>
      <w:b/>
      <w:sz w:val="24"/>
    </w:rPr>
  </w:style>
  <w:style w:type="character" w:customStyle="1" w:styleId="Heading7Char">
    <w:name w:val="Heading 7 Char"/>
    <w:basedOn w:val="DefaultParagraphFont"/>
    <w:link w:val="Heading7"/>
    <w:rsid w:val="00D64301"/>
    <w:rPr>
      <w:rFonts w:ascii="Calibri" w:eastAsia="Times New Roman" w:hAnsi="Calibri"/>
      <w:b/>
      <w:i/>
      <w:sz w:val="24"/>
    </w:rPr>
  </w:style>
  <w:style w:type="character" w:customStyle="1" w:styleId="Heading8Char">
    <w:name w:val="Heading 8 Char"/>
    <w:basedOn w:val="DefaultParagraphFont"/>
    <w:link w:val="Heading8"/>
    <w:rsid w:val="00150646"/>
    <w:rPr>
      <w:rFonts w:eastAsia="Times New Roman"/>
      <w:i/>
      <w:sz w:val="24"/>
    </w:rPr>
  </w:style>
  <w:style w:type="character" w:customStyle="1" w:styleId="Heading9Char">
    <w:name w:val="Heading 9 Char"/>
    <w:basedOn w:val="DefaultParagraphFont"/>
    <w:link w:val="Heading9"/>
    <w:rsid w:val="00150646"/>
    <w:rPr>
      <w:rFonts w:eastAsia="Times New Roman"/>
      <w:b/>
      <w:sz w:val="24"/>
    </w:rPr>
  </w:style>
  <w:style w:type="paragraph" w:styleId="HTMLAddress">
    <w:name w:val="HTML Address"/>
    <w:basedOn w:val="Normal"/>
    <w:link w:val="HTMLAddressChar"/>
    <w:semiHidden/>
    <w:unhideWhenUsed/>
    <w:rsid w:val="00150646"/>
    <w:pPr>
      <w:spacing w:after="0"/>
    </w:pPr>
    <w:rPr>
      <w:i/>
      <w:iCs/>
    </w:rPr>
  </w:style>
  <w:style w:type="character" w:customStyle="1" w:styleId="HTMLAddressChar">
    <w:name w:val="HTML Address Char"/>
    <w:basedOn w:val="DefaultParagraphFont"/>
    <w:link w:val="HTMLAddress"/>
    <w:semiHidden/>
    <w:rsid w:val="00150646"/>
    <w:rPr>
      <w:rFonts w:eastAsia="Times New Roman"/>
      <w:i/>
      <w:iCs/>
      <w:sz w:val="24"/>
    </w:rPr>
  </w:style>
  <w:style w:type="paragraph" w:styleId="HTMLPreformatted">
    <w:name w:val="HTML Preformatted"/>
    <w:basedOn w:val="Normal"/>
    <w:link w:val="HTMLPreformattedChar"/>
    <w:semiHidden/>
    <w:unhideWhenUsed/>
    <w:rsid w:val="00150646"/>
    <w:pPr>
      <w:spacing w:after="0"/>
    </w:pPr>
    <w:rPr>
      <w:rFonts w:ascii="Consolas" w:hAnsi="Consolas" w:cs="Consolas"/>
      <w:sz w:val="20"/>
    </w:rPr>
  </w:style>
  <w:style w:type="character" w:customStyle="1" w:styleId="HTMLPreformattedChar">
    <w:name w:val="HTML Preformatted Char"/>
    <w:basedOn w:val="DefaultParagraphFont"/>
    <w:link w:val="HTMLPreformatted"/>
    <w:semiHidden/>
    <w:rsid w:val="00150646"/>
    <w:rPr>
      <w:rFonts w:ascii="Consolas" w:eastAsia="Times New Roman" w:hAnsi="Consolas" w:cs="Consolas"/>
    </w:rPr>
  </w:style>
  <w:style w:type="character" w:styleId="Hyperlink">
    <w:name w:val="Hyperlink"/>
    <w:basedOn w:val="DefaultParagraphFont"/>
    <w:uiPriority w:val="99"/>
    <w:rsid w:val="00150646"/>
    <w:rPr>
      <w:color w:val="0000FF"/>
      <w:u w:val="single"/>
    </w:rPr>
  </w:style>
  <w:style w:type="paragraph" w:styleId="Index1">
    <w:name w:val="index 1"/>
    <w:basedOn w:val="Normal"/>
    <w:next w:val="Normal"/>
    <w:autoRedefine/>
    <w:semiHidden/>
    <w:unhideWhenUsed/>
    <w:rsid w:val="00150646"/>
    <w:pPr>
      <w:spacing w:after="0"/>
      <w:ind w:left="240" w:hanging="240"/>
    </w:pPr>
  </w:style>
  <w:style w:type="paragraph" w:styleId="Index2">
    <w:name w:val="index 2"/>
    <w:basedOn w:val="Normal"/>
    <w:next w:val="Normal"/>
    <w:autoRedefine/>
    <w:semiHidden/>
    <w:unhideWhenUsed/>
    <w:rsid w:val="00150646"/>
    <w:pPr>
      <w:spacing w:after="0"/>
      <w:ind w:left="480" w:hanging="240"/>
    </w:pPr>
  </w:style>
  <w:style w:type="paragraph" w:styleId="Index3">
    <w:name w:val="index 3"/>
    <w:basedOn w:val="Normal"/>
    <w:next w:val="Normal"/>
    <w:autoRedefine/>
    <w:semiHidden/>
    <w:unhideWhenUsed/>
    <w:rsid w:val="00150646"/>
    <w:pPr>
      <w:spacing w:after="0"/>
      <w:ind w:left="720" w:hanging="240"/>
    </w:pPr>
  </w:style>
  <w:style w:type="paragraph" w:styleId="Index4">
    <w:name w:val="index 4"/>
    <w:basedOn w:val="Normal"/>
    <w:next w:val="Normal"/>
    <w:autoRedefine/>
    <w:semiHidden/>
    <w:unhideWhenUsed/>
    <w:rsid w:val="00150646"/>
    <w:pPr>
      <w:spacing w:after="0"/>
      <w:ind w:left="960" w:hanging="240"/>
    </w:pPr>
  </w:style>
  <w:style w:type="paragraph" w:styleId="Index5">
    <w:name w:val="index 5"/>
    <w:basedOn w:val="Normal"/>
    <w:next w:val="Normal"/>
    <w:autoRedefine/>
    <w:semiHidden/>
    <w:unhideWhenUsed/>
    <w:rsid w:val="00150646"/>
    <w:pPr>
      <w:spacing w:after="0"/>
      <w:ind w:left="1200" w:hanging="240"/>
    </w:pPr>
  </w:style>
  <w:style w:type="paragraph" w:styleId="Index6">
    <w:name w:val="index 6"/>
    <w:basedOn w:val="Normal"/>
    <w:next w:val="Normal"/>
    <w:autoRedefine/>
    <w:semiHidden/>
    <w:unhideWhenUsed/>
    <w:rsid w:val="00150646"/>
    <w:pPr>
      <w:spacing w:after="0"/>
      <w:ind w:left="1440" w:hanging="240"/>
    </w:pPr>
  </w:style>
  <w:style w:type="paragraph" w:styleId="Index7">
    <w:name w:val="index 7"/>
    <w:basedOn w:val="Normal"/>
    <w:next w:val="Normal"/>
    <w:autoRedefine/>
    <w:semiHidden/>
    <w:unhideWhenUsed/>
    <w:rsid w:val="00150646"/>
    <w:pPr>
      <w:spacing w:after="0"/>
      <w:ind w:left="1680" w:hanging="240"/>
    </w:pPr>
  </w:style>
  <w:style w:type="paragraph" w:styleId="Index8">
    <w:name w:val="index 8"/>
    <w:basedOn w:val="Normal"/>
    <w:next w:val="Normal"/>
    <w:autoRedefine/>
    <w:semiHidden/>
    <w:unhideWhenUsed/>
    <w:rsid w:val="00150646"/>
    <w:pPr>
      <w:spacing w:after="0"/>
      <w:ind w:left="1920" w:hanging="240"/>
    </w:pPr>
  </w:style>
  <w:style w:type="paragraph" w:styleId="Index9">
    <w:name w:val="index 9"/>
    <w:basedOn w:val="Normal"/>
    <w:next w:val="Normal"/>
    <w:autoRedefine/>
    <w:semiHidden/>
    <w:unhideWhenUsed/>
    <w:rsid w:val="00150646"/>
    <w:pPr>
      <w:spacing w:after="0"/>
      <w:ind w:left="2160" w:hanging="240"/>
    </w:pPr>
  </w:style>
  <w:style w:type="paragraph" w:styleId="IndexHeading">
    <w:name w:val="index heading"/>
    <w:basedOn w:val="Normal"/>
    <w:next w:val="Index1"/>
    <w:semiHidden/>
    <w:unhideWhenUsed/>
    <w:rsid w:val="00150646"/>
    <w:rPr>
      <w:b/>
      <w:bCs/>
    </w:rPr>
  </w:style>
  <w:style w:type="paragraph" w:styleId="IntenseQuote">
    <w:name w:val="Intense Quote"/>
    <w:basedOn w:val="Normal"/>
    <w:next w:val="Normal"/>
    <w:link w:val="IntenseQuoteChar"/>
    <w:uiPriority w:val="30"/>
    <w:rsid w:val="001506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0646"/>
    <w:rPr>
      <w:rFonts w:eastAsia="Times New Roman"/>
      <w:i/>
      <w:iCs/>
      <w:color w:val="5B9BD5" w:themeColor="accent1"/>
      <w:sz w:val="24"/>
    </w:rPr>
  </w:style>
  <w:style w:type="paragraph" w:styleId="List">
    <w:name w:val="List"/>
    <w:basedOn w:val="Normal"/>
    <w:semiHidden/>
    <w:unhideWhenUsed/>
    <w:rsid w:val="00150646"/>
    <w:pPr>
      <w:ind w:left="360" w:hanging="360"/>
      <w:contextualSpacing/>
    </w:pPr>
  </w:style>
  <w:style w:type="paragraph" w:styleId="List2">
    <w:name w:val="List 2"/>
    <w:basedOn w:val="Normal"/>
    <w:semiHidden/>
    <w:unhideWhenUsed/>
    <w:rsid w:val="00150646"/>
    <w:pPr>
      <w:ind w:left="720" w:hanging="360"/>
      <w:contextualSpacing/>
    </w:pPr>
  </w:style>
  <w:style w:type="paragraph" w:styleId="List3">
    <w:name w:val="List 3"/>
    <w:basedOn w:val="Normal"/>
    <w:semiHidden/>
    <w:unhideWhenUsed/>
    <w:rsid w:val="00150646"/>
    <w:pPr>
      <w:ind w:left="1080" w:hanging="360"/>
      <w:contextualSpacing/>
    </w:pPr>
  </w:style>
  <w:style w:type="paragraph" w:styleId="List4">
    <w:name w:val="List 4"/>
    <w:basedOn w:val="Normal"/>
    <w:rsid w:val="00150646"/>
    <w:pPr>
      <w:ind w:left="1440" w:hanging="360"/>
      <w:contextualSpacing/>
    </w:pPr>
  </w:style>
  <w:style w:type="paragraph" w:styleId="List5">
    <w:name w:val="List 5"/>
    <w:basedOn w:val="Normal"/>
    <w:rsid w:val="00150646"/>
    <w:pPr>
      <w:ind w:left="1800" w:hanging="360"/>
      <w:contextualSpacing/>
    </w:pPr>
  </w:style>
  <w:style w:type="paragraph" w:styleId="ListBullet">
    <w:name w:val="List Bullet"/>
    <w:basedOn w:val="Normal"/>
    <w:semiHidden/>
    <w:unhideWhenUsed/>
    <w:rsid w:val="00150646"/>
    <w:pPr>
      <w:numPr>
        <w:numId w:val="21"/>
      </w:numPr>
      <w:contextualSpacing/>
    </w:pPr>
  </w:style>
  <w:style w:type="paragraph" w:styleId="ListBullet2">
    <w:name w:val="List Bullet 2"/>
    <w:basedOn w:val="Normal"/>
    <w:semiHidden/>
    <w:unhideWhenUsed/>
    <w:rsid w:val="00150646"/>
    <w:pPr>
      <w:numPr>
        <w:numId w:val="22"/>
      </w:numPr>
      <w:contextualSpacing/>
    </w:pPr>
  </w:style>
  <w:style w:type="paragraph" w:styleId="ListBullet3">
    <w:name w:val="List Bullet 3"/>
    <w:basedOn w:val="Normal"/>
    <w:semiHidden/>
    <w:unhideWhenUsed/>
    <w:rsid w:val="00150646"/>
    <w:pPr>
      <w:numPr>
        <w:numId w:val="23"/>
      </w:numPr>
      <w:contextualSpacing/>
    </w:pPr>
  </w:style>
  <w:style w:type="paragraph" w:styleId="ListBullet4">
    <w:name w:val="List Bullet 4"/>
    <w:basedOn w:val="Normal"/>
    <w:semiHidden/>
    <w:unhideWhenUsed/>
    <w:rsid w:val="00150646"/>
    <w:pPr>
      <w:numPr>
        <w:numId w:val="24"/>
      </w:numPr>
      <w:contextualSpacing/>
    </w:pPr>
  </w:style>
  <w:style w:type="paragraph" w:styleId="ListBullet5">
    <w:name w:val="List Bullet 5"/>
    <w:basedOn w:val="Normal"/>
    <w:semiHidden/>
    <w:unhideWhenUsed/>
    <w:rsid w:val="00150646"/>
    <w:pPr>
      <w:numPr>
        <w:numId w:val="25"/>
      </w:numPr>
      <w:contextualSpacing/>
    </w:pPr>
  </w:style>
  <w:style w:type="paragraph" w:styleId="ListContinue">
    <w:name w:val="List Continue"/>
    <w:basedOn w:val="Normal"/>
    <w:semiHidden/>
    <w:unhideWhenUsed/>
    <w:rsid w:val="00150646"/>
    <w:pPr>
      <w:ind w:left="360"/>
      <w:contextualSpacing/>
    </w:pPr>
  </w:style>
  <w:style w:type="paragraph" w:styleId="ListContinue2">
    <w:name w:val="List Continue 2"/>
    <w:basedOn w:val="Normal"/>
    <w:semiHidden/>
    <w:unhideWhenUsed/>
    <w:rsid w:val="00150646"/>
    <w:pPr>
      <w:ind w:left="720"/>
      <w:contextualSpacing/>
    </w:pPr>
  </w:style>
  <w:style w:type="paragraph" w:styleId="ListContinue3">
    <w:name w:val="List Continue 3"/>
    <w:basedOn w:val="Normal"/>
    <w:semiHidden/>
    <w:unhideWhenUsed/>
    <w:rsid w:val="00150646"/>
    <w:pPr>
      <w:ind w:left="1080"/>
      <w:contextualSpacing/>
    </w:pPr>
  </w:style>
  <w:style w:type="paragraph" w:styleId="ListContinue4">
    <w:name w:val="List Continue 4"/>
    <w:basedOn w:val="Normal"/>
    <w:semiHidden/>
    <w:unhideWhenUsed/>
    <w:rsid w:val="00150646"/>
    <w:pPr>
      <w:ind w:left="1440"/>
      <w:contextualSpacing/>
    </w:pPr>
  </w:style>
  <w:style w:type="paragraph" w:styleId="ListContinue5">
    <w:name w:val="List Continue 5"/>
    <w:basedOn w:val="Normal"/>
    <w:semiHidden/>
    <w:unhideWhenUsed/>
    <w:rsid w:val="00150646"/>
    <w:pPr>
      <w:ind w:left="1800"/>
      <w:contextualSpacing/>
    </w:pPr>
  </w:style>
  <w:style w:type="paragraph" w:styleId="ListNumber">
    <w:name w:val="List Number"/>
    <w:basedOn w:val="Normal"/>
    <w:rsid w:val="00150646"/>
    <w:pPr>
      <w:numPr>
        <w:numId w:val="26"/>
      </w:numPr>
      <w:contextualSpacing/>
    </w:pPr>
  </w:style>
  <w:style w:type="paragraph" w:styleId="ListNumber2">
    <w:name w:val="List Number 2"/>
    <w:basedOn w:val="Normal"/>
    <w:semiHidden/>
    <w:unhideWhenUsed/>
    <w:rsid w:val="00150646"/>
    <w:pPr>
      <w:numPr>
        <w:numId w:val="27"/>
      </w:numPr>
      <w:contextualSpacing/>
    </w:pPr>
  </w:style>
  <w:style w:type="paragraph" w:styleId="ListNumber3">
    <w:name w:val="List Number 3"/>
    <w:basedOn w:val="Normal"/>
    <w:semiHidden/>
    <w:unhideWhenUsed/>
    <w:rsid w:val="00150646"/>
    <w:pPr>
      <w:numPr>
        <w:numId w:val="28"/>
      </w:numPr>
      <w:contextualSpacing/>
    </w:pPr>
  </w:style>
  <w:style w:type="paragraph" w:styleId="ListNumber4">
    <w:name w:val="List Number 4"/>
    <w:basedOn w:val="Normal"/>
    <w:semiHidden/>
    <w:unhideWhenUsed/>
    <w:rsid w:val="00150646"/>
    <w:pPr>
      <w:numPr>
        <w:numId w:val="29"/>
      </w:numPr>
      <w:contextualSpacing/>
    </w:pPr>
  </w:style>
  <w:style w:type="paragraph" w:styleId="ListNumber5">
    <w:name w:val="List Number 5"/>
    <w:basedOn w:val="Normal"/>
    <w:semiHidden/>
    <w:unhideWhenUsed/>
    <w:rsid w:val="00150646"/>
    <w:pPr>
      <w:numPr>
        <w:numId w:val="30"/>
      </w:numPr>
      <w:contextualSpacing/>
    </w:pPr>
  </w:style>
  <w:style w:type="table" w:styleId="ListTable1Light">
    <w:name w:val="List Table 1 Light"/>
    <w:basedOn w:val="TableNormal"/>
    <w:uiPriority w:val="46"/>
    <w:rsid w:val="00150646"/>
    <w:rPr>
      <w:rFonts w:eastAsia="Times New Roma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150646"/>
    <w:rPr>
      <w:rFonts w:eastAsia="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MacroText">
    <w:name w:val="macro"/>
    <w:link w:val="MacroTextChar"/>
    <w:semiHidden/>
    <w:unhideWhenUsed/>
    <w:rsid w:val="0015064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semiHidden/>
    <w:rsid w:val="00150646"/>
    <w:rPr>
      <w:rFonts w:ascii="Consolas" w:eastAsia="Times New Roman" w:hAnsi="Consolas" w:cs="Consolas"/>
    </w:rPr>
  </w:style>
  <w:style w:type="paragraph" w:styleId="MessageHeader">
    <w:name w:val="Message Header"/>
    <w:basedOn w:val="Normal"/>
    <w:link w:val="MessageHeaderChar"/>
    <w:semiHidden/>
    <w:unhideWhenUsed/>
    <w:rsid w:val="00150646"/>
    <w:pPr>
      <w:pBdr>
        <w:top w:val="single" w:sz="6" w:space="1" w:color="auto"/>
        <w:left w:val="single" w:sz="6" w:space="1" w:color="auto"/>
        <w:bottom w:val="single" w:sz="6" w:space="1" w:color="auto"/>
        <w:right w:val="single" w:sz="6" w:space="1" w:color="auto"/>
      </w:pBdr>
      <w:shd w:val="pct20" w:color="auto" w:fill="auto"/>
      <w:spacing w:after="0"/>
      <w:ind w:left="1080" w:hanging="1080"/>
    </w:pPr>
    <w:rPr>
      <w:szCs w:val="24"/>
    </w:rPr>
  </w:style>
  <w:style w:type="character" w:customStyle="1" w:styleId="MessageHeaderChar">
    <w:name w:val="Message Header Char"/>
    <w:basedOn w:val="DefaultParagraphFont"/>
    <w:link w:val="MessageHeader"/>
    <w:semiHidden/>
    <w:rsid w:val="00150646"/>
    <w:rPr>
      <w:rFonts w:eastAsia="Times New Roman"/>
      <w:sz w:val="24"/>
      <w:szCs w:val="24"/>
      <w:shd w:val="pct20" w:color="auto" w:fill="auto"/>
    </w:rPr>
  </w:style>
  <w:style w:type="paragraph" w:styleId="NoSpacing">
    <w:name w:val="No Spacing"/>
    <w:link w:val="NoSpacingChar"/>
    <w:uiPriority w:val="1"/>
    <w:qFormat/>
    <w:rsid w:val="00150646"/>
    <w:rPr>
      <w:rFonts w:eastAsia="Times New Roman"/>
      <w:sz w:val="22"/>
      <w:szCs w:val="22"/>
    </w:rPr>
  </w:style>
  <w:style w:type="character" w:customStyle="1" w:styleId="NoSpacingChar">
    <w:name w:val="No Spacing Char"/>
    <w:basedOn w:val="DefaultParagraphFont"/>
    <w:link w:val="NoSpacing"/>
    <w:uiPriority w:val="1"/>
    <w:rsid w:val="00150646"/>
    <w:rPr>
      <w:rFonts w:eastAsia="Times New Roman"/>
      <w:sz w:val="22"/>
      <w:szCs w:val="22"/>
    </w:rPr>
  </w:style>
  <w:style w:type="paragraph" w:styleId="NormalWeb">
    <w:name w:val="Normal (Web)"/>
    <w:basedOn w:val="Normal"/>
    <w:semiHidden/>
    <w:unhideWhenUsed/>
    <w:rsid w:val="00150646"/>
    <w:rPr>
      <w:szCs w:val="24"/>
    </w:rPr>
  </w:style>
  <w:style w:type="paragraph" w:styleId="NormalIndent">
    <w:name w:val="Normal Indent"/>
    <w:basedOn w:val="Normal"/>
    <w:semiHidden/>
    <w:unhideWhenUsed/>
    <w:rsid w:val="00150646"/>
    <w:pPr>
      <w:ind w:left="720"/>
    </w:pPr>
  </w:style>
  <w:style w:type="paragraph" w:styleId="NoteHeading">
    <w:name w:val="Note Heading"/>
    <w:basedOn w:val="Normal"/>
    <w:next w:val="Normal"/>
    <w:link w:val="NoteHeadingChar"/>
    <w:semiHidden/>
    <w:unhideWhenUsed/>
    <w:rsid w:val="00150646"/>
    <w:pPr>
      <w:spacing w:after="0"/>
    </w:pPr>
  </w:style>
  <w:style w:type="character" w:customStyle="1" w:styleId="NoteHeadingChar">
    <w:name w:val="Note Heading Char"/>
    <w:basedOn w:val="DefaultParagraphFont"/>
    <w:link w:val="NoteHeading"/>
    <w:semiHidden/>
    <w:rsid w:val="00150646"/>
    <w:rPr>
      <w:rFonts w:eastAsia="Times New Roman"/>
      <w:sz w:val="24"/>
    </w:rPr>
  </w:style>
  <w:style w:type="character" w:styleId="PageNumber">
    <w:name w:val="page number"/>
    <w:basedOn w:val="DefaultParagraphFont"/>
    <w:semiHidden/>
    <w:rsid w:val="00150646"/>
  </w:style>
  <w:style w:type="paragraph" w:customStyle="1" w:styleId="Paragraph">
    <w:name w:val="Paragraph"/>
    <w:basedOn w:val="Normal"/>
    <w:link w:val="ParagraphChar"/>
    <w:qFormat/>
    <w:rsid w:val="00150646"/>
    <w:pPr>
      <w:spacing w:before="120" w:after="180" w:line="259" w:lineRule="auto"/>
    </w:pPr>
    <w:rPr>
      <w:rFonts w:asciiTheme="minorHAnsi" w:hAnsiTheme="minorHAnsi"/>
      <w:shd w:val="clear" w:color="auto" w:fill="FFFFFF"/>
    </w:rPr>
  </w:style>
  <w:style w:type="character" w:customStyle="1" w:styleId="ParagraphChar">
    <w:name w:val="Paragraph Char"/>
    <w:basedOn w:val="DefaultParagraphFont"/>
    <w:link w:val="Paragraph"/>
    <w:rsid w:val="00150646"/>
    <w:rPr>
      <w:rFonts w:asciiTheme="minorHAnsi" w:eastAsia="Times New Roman" w:hAnsiTheme="minorHAnsi"/>
      <w:sz w:val="24"/>
    </w:rPr>
  </w:style>
  <w:style w:type="paragraph" w:styleId="PlainText">
    <w:name w:val="Plain Text"/>
    <w:basedOn w:val="Normal"/>
    <w:link w:val="PlainTextChar"/>
    <w:rsid w:val="00150646"/>
    <w:rPr>
      <w:color w:val="0000FF"/>
      <w:szCs w:val="24"/>
    </w:rPr>
  </w:style>
  <w:style w:type="character" w:customStyle="1" w:styleId="PlainTextChar">
    <w:name w:val="Plain Text Char"/>
    <w:basedOn w:val="DefaultParagraphFont"/>
    <w:link w:val="PlainText"/>
    <w:rsid w:val="00150646"/>
    <w:rPr>
      <w:rFonts w:eastAsia="Times New Roman"/>
      <w:color w:val="0000FF"/>
      <w:sz w:val="24"/>
      <w:szCs w:val="24"/>
    </w:rPr>
  </w:style>
  <w:style w:type="paragraph" w:styleId="Quote">
    <w:name w:val="Quote"/>
    <w:basedOn w:val="Normal"/>
    <w:next w:val="Normal"/>
    <w:link w:val="QuoteChar"/>
    <w:uiPriority w:val="29"/>
    <w:rsid w:val="001506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0646"/>
    <w:rPr>
      <w:rFonts w:eastAsia="Times New Roman"/>
      <w:i/>
      <w:iCs/>
      <w:color w:val="404040" w:themeColor="text1" w:themeTint="BF"/>
      <w:sz w:val="24"/>
    </w:rPr>
  </w:style>
  <w:style w:type="paragraph" w:styleId="Salutation">
    <w:name w:val="Salutation"/>
    <w:basedOn w:val="Normal"/>
    <w:next w:val="Normal"/>
    <w:link w:val="SalutationChar"/>
    <w:rsid w:val="00150646"/>
  </w:style>
  <w:style w:type="character" w:customStyle="1" w:styleId="SalutationChar">
    <w:name w:val="Salutation Char"/>
    <w:basedOn w:val="DefaultParagraphFont"/>
    <w:link w:val="Salutation"/>
    <w:rsid w:val="00150646"/>
    <w:rPr>
      <w:rFonts w:eastAsia="Times New Roman"/>
      <w:sz w:val="24"/>
    </w:rPr>
  </w:style>
  <w:style w:type="paragraph" w:styleId="Signature">
    <w:name w:val="Signature"/>
    <w:basedOn w:val="Normal"/>
    <w:link w:val="SignatureChar"/>
    <w:semiHidden/>
    <w:unhideWhenUsed/>
    <w:rsid w:val="00150646"/>
    <w:pPr>
      <w:spacing w:after="0"/>
      <w:ind w:left="4320"/>
    </w:pPr>
  </w:style>
  <w:style w:type="character" w:customStyle="1" w:styleId="SignatureChar">
    <w:name w:val="Signature Char"/>
    <w:basedOn w:val="DefaultParagraphFont"/>
    <w:link w:val="Signature"/>
    <w:semiHidden/>
    <w:rsid w:val="00150646"/>
    <w:rPr>
      <w:rFonts w:eastAsia="Times New Roman"/>
      <w:sz w:val="24"/>
    </w:rPr>
  </w:style>
  <w:style w:type="paragraph" w:customStyle="1" w:styleId="Style1">
    <w:name w:val="Style1"/>
    <w:basedOn w:val="Heading1"/>
    <w:semiHidden/>
    <w:rsid w:val="00150646"/>
    <w:rPr>
      <w:color w:val="0000FF"/>
    </w:rPr>
  </w:style>
  <w:style w:type="paragraph" w:customStyle="1" w:styleId="Style2">
    <w:name w:val="Style2"/>
    <w:basedOn w:val="Heading2"/>
    <w:semiHidden/>
    <w:rsid w:val="00150646"/>
    <w:rPr>
      <w:color w:val="800080"/>
    </w:rPr>
  </w:style>
  <w:style w:type="paragraph" w:customStyle="1" w:styleId="Style3">
    <w:name w:val="Style3"/>
    <w:basedOn w:val="Heading3"/>
    <w:semiHidden/>
    <w:rsid w:val="00150646"/>
    <w:rPr>
      <w:color w:val="0000FF"/>
    </w:rPr>
  </w:style>
  <w:style w:type="paragraph" w:customStyle="1" w:styleId="Style4">
    <w:name w:val="Style4"/>
    <w:basedOn w:val="Heading1"/>
    <w:semiHidden/>
    <w:rsid w:val="00150646"/>
  </w:style>
  <w:style w:type="character" w:styleId="SubtleEmphasis">
    <w:name w:val="Subtle Emphasis"/>
    <w:uiPriority w:val="19"/>
    <w:rsid w:val="00150646"/>
    <w:rPr>
      <w:rFonts w:ascii="Book Antiqua" w:hAnsi="Book Antiqua"/>
      <w:i/>
      <w:sz w:val="36"/>
    </w:rPr>
  </w:style>
  <w:style w:type="paragraph" w:customStyle="1" w:styleId="TableCaption">
    <w:name w:val="Table Caption"/>
    <w:basedOn w:val="Caption"/>
    <w:link w:val="TableCaptionChar"/>
    <w:qFormat/>
    <w:rsid w:val="00F87338"/>
    <w:pPr>
      <w:keepNext/>
      <w:spacing w:before="360" w:after="120"/>
    </w:pPr>
    <w:rPr>
      <w:sz w:val="22"/>
    </w:rPr>
  </w:style>
  <w:style w:type="character" w:customStyle="1" w:styleId="TableCaptionChar">
    <w:name w:val="Table Caption Char"/>
    <w:basedOn w:val="CaptionChar"/>
    <w:link w:val="TableCaption"/>
    <w:rsid w:val="00F87338"/>
    <w:rPr>
      <w:rFonts w:ascii="Arial" w:eastAsia="Times New Roman" w:hAnsi="Arial"/>
      <w:b/>
      <w:bCs/>
      <w:sz w:val="22"/>
      <w:szCs w:val="18"/>
    </w:rPr>
  </w:style>
  <w:style w:type="table" w:styleId="TableGrid">
    <w:name w:val="Table Grid"/>
    <w:basedOn w:val="TableNormal"/>
    <w:uiPriority w:val="39"/>
    <w:rsid w:val="001506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150646"/>
    <w:pPr>
      <w:spacing w:after="0"/>
      <w:ind w:left="240" w:hanging="240"/>
    </w:pPr>
  </w:style>
  <w:style w:type="paragraph" w:styleId="TableofFigures">
    <w:name w:val="table of figures"/>
    <w:basedOn w:val="Normal"/>
    <w:next w:val="Normal"/>
    <w:uiPriority w:val="99"/>
    <w:rsid w:val="00150646"/>
    <w:pPr>
      <w:tabs>
        <w:tab w:val="right" w:leader="dot" w:pos="9360"/>
      </w:tabs>
    </w:pPr>
  </w:style>
  <w:style w:type="paragraph" w:customStyle="1" w:styleId="TableParagraph">
    <w:name w:val="Table Paragraph"/>
    <w:basedOn w:val="Normal"/>
    <w:uiPriority w:val="1"/>
    <w:qFormat/>
    <w:rsid w:val="00F00714"/>
    <w:pPr>
      <w:widowControl w:val="0"/>
      <w:spacing w:after="0"/>
    </w:pPr>
    <w:rPr>
      <w:rFonts w:ascii="Arial" w:hAnsi="Arial" w:cs="Arial"/>
      <w:sz w:val="22"/>
      <w:szCs w:val="22"/>
    </w:rPr>
  </w:style>
  <w:style w:type="paragraph" w:styleId="Title">
    <w:name w:val="Title"/>
    <w:basedOn w:val="Heading1"/>
    <w:link w:val="TitleChar"/>
    <w:uiPriority w:val="10"/>
    <w:rsid w:val="00150646"/>
    <w:pPr>
      <w:ind w:left="2160"/>
      <w:jc w:val="left"/>
    </w:pPr>
    <w:rPr>
      <w:szCs w:val="40"/>
    </w:rPr>
  </w:style>
  <w:style w:type="character" w:customStyle="1" w:styleId="TitleChar">
    <w:name w:val="Title Char"/>
    <w:basedOn w:val="DefaultParagraphFont"/>
    <w:link w:val="Title"/>
    <w:uiPriority w:val="10"/>
    <w:rsid w:val="00150646"/>
    <w:rPr>
      <w:rFonts w:ascii="Franklin Gothic Demi" w:eastAsia="Times New Roman" w:hAnsi="Franklin Gothic Demi"/>
      <w:sz w:val="40"/>
      <w:szCs w:val="40"/>
    </w:rPr>
  </w:style>
  <w:style w:type="paragraph" w:styleId="TOAHeading">
    <w:name w:val="toa heading"/>
    <w:basedOn w:val="Normal"/>
    <w:next w:val="Normal"/>
    <w:semiHidden/>
    <w:unhideWhenUsed/>
    <w:rsid w:val="00150646"/>
    <w:pPr>
      <w:spacing w:before="120"/>
    </w:pPr>
    <w:rPr>
      <w:b/>
      <w:bCs/>
      <w:szCs w:val="24"/>
    </w:rPr>
  </w:style>
  <w:style w:type="paragraph" w:styleId="TOC1">
    <w:name w:val="toc 1"/>
    <w:basedOn w:val="Normal"/>
    <w:next w:val="Normal"/>
    <w:autoRedefine/>
    <w:uiPriority w:val="39"/>
    <w:rsid w:val="00DE71DA"/>
    <w:pPr>
      <w:tabs>
        <w:tab w:val="right" w:leader="dot" w:pos="9360"/>
      </w:tabs>
      <w:spacing w:after="0"/>
    </w:pPr>
    <w:rPr>
      <w:rFonts w:ascii="Arial" w:hAnsi="Arial"/>
    </w:rPr>
  </w:style>
  <w:style w:type="paragraph" w:styleId="TOC2">
    <w:name w:val="toc 2"/>
    <w:basedOn w:val="Normal"/>
    <w:next w:val="Normal"/>
    <w:uiPriority w:val="39"/>
    <w:rsid w:val="00150646"/>
    <w:pPr>
      <w:tabs>
        <w:tab w:val="right" w:leader="dot" w:pos="9360"/>
      </w:tabs>
      <w:ind w:left="360"/>
    </w:pPr>
  </w:style>
  <w:style w:type="paragraph" w:styleId="TOC3">
    <w:name w:val="toc 3"/>
    <w:basedOn w:val="Normal"/>
    <w:next w:val="Normal"/>
    <w:uiPriority w:val="39"/>
    <w:rsid w:val="00150646"/>
    <w:pPr>
      <w:tabs>
        <w:tab w:val="right" w:leader="dot" w:pos="9360"/>
      </w:tabs>
      <w:ind w:left="720"/>
    </w:pPr>
  </w:style>
  <w:style w:type="paragraph" w:styleId="TOC4">
    <w:name w:val="toc 4"/>
    <w:basedOn w:val="Normal"/>
    <w:next w:val="Normal"/>
    <w:autoRedefine/>
    <w:uiPriority w:val="39"/>
    <w:rsid w:val="00781FE4"/>
    <w:pPr>
      <w:tabs>
        <w:tab w:val="right" w:leader="dot" w:pos="9350"/>
      </w:tabs>
      <w:spacing w:after="0"/>
      <w:ind w:left="1170"/>
    </w:pPr>
  </w:style>
  <w:style w:type="paragraph" w:styleId="TOC5">
    <w:name w:val="toc 5"/>
    <w:basedOn w:val="Normal"/>
    <w:next w:val="Normal"/>
    <w:autoRedefine/>
    <w:uiPriority w:val="39"/>
    <w:rsid w:val="00F72955"/>
    <w:pPr>
      <w:tabs>
        <w:tab w:val="right" w:leader="dot" w:pos="9360"/>
      </w:tabs>
      <w:ind w:left="1800" w:hanging="234"/>
    </w:pPr>
  </w:style>
  <w:style w:type="paragraph" w:styleId="TOC6">
    <w:name w:val="toc 6"/>
    <w:basedOn w:val="Normal"/>
    <w:next w:val="Normal"/>
    <w:autoRedefine/>
    <w:uiPriority w:val="39"/>
    <w:rsid w:val="00583DD6"/>
    <w:pPr>
      <w:tabs>
        <w:tab w:val="right" w:leader="dot" w:pos="9350"/>
      </w:tabs>
      <w:ind w:left="1980"/>
    </w:pPr>
  </w:style>
  <w:style w:type="paragraph" w:styleId="TOC7">
    <w:name w:val="toc 7"/>
    <w:basedOn w:val="Normal"/>
    <w:next w:val="Normal"/>
    <w:autoRedefine/>
    <w:uiPriority w:val="39"/>
    <w:rsid w:val="004E7FA1"/>
    <w:pPr>
      <w:tabs>
        <w:tab w:val="right" w:leader="dot" w:pos="9350"/>
      </w:tabs>
      <w:spacing w:after="0"/>
      <w:ind w:left="2430"/>
    </w:pPr>
  </w:style>
  <w:style w:type="paragraph" w:styleId="TOC8">
    <w:name w:val="toc 8"/>
    <w:basedOn w:val="Normal"/>
    <w:next w:val="Normal"/>
    <w:autoRedefine/>
    <w:uiPriority w:val="39"/>
    <w:rsid w:val="00150646"/>
    <w:pPr>
      <w:ind w:left="1680"/>
    </w:pPr>
  </w:style>
  <w:style w:type="paragraph" w:styleId="TOC9">
    <w:name w:val="toc 9"/>
    <w:basedOn w:val="Normal"/>
    <w:next w:val="Normal"/>
    <w:autoRedefine/>
    <w:uiPriority w:val="39"/>
    <w:rsid w:val="00150646"/>
    <w:pPr>
      <w:ind w:left="1920"/>
    </w:pPr>
  </w:style>
  <w:style w:type="paragraph" w:styleId="TOCHeading">
    <w:name w:val="TOC Heading"/>
    <w:basedOn w:val="Heading1"/>
    <w:next w:val="Normal"/>
    <w:uiPriority w:val="39"/>
    <w:unhideWhenUsed/>
    <w:qFormat/>
    <w:rsid w:val="00150646"/>
  </w:style>
  <w:style w:type="character" w:customStyle="1" w:styleId="a">
    <w:name w:val="_"/>
    <w:basedOn w:val="DefaultParagraphFont"/>
    <w:semiHidden/>
    <w:rsid w:val="00150646"/>
  </w:style>
  <w:style w:type="paragraph" w:customStyle="1" w:styleId="CM7">
    <w:name w:val="CM7"/>
    <w:basedOn w:val="Default"/>
    <w:next w:val="Default"/>
    <w:uiPriority w:val="99"/>
    <w:rsid w:val="00E4229F"/>
    <w:pPr>
      <w:spacing w:line="553" w:lineRule="atLeast"/>
    </w:pPr>
    <w:rPr>
      <w:rFonts w:eastAsiaTheme="minorHAnsi"/>
      <w:color w:val="auto"/>
    </w:rPr>
  </w:style>
  <w:style w:type="character" w:customStyle="1" w:styleId="title-h1">
    <w:name w:val="title-h1"/>
    <w:basedOn w:val="DefaultParagraphFont"/>
    <w:rsid w:val="00893351"/>
  </w:style>
  <w:style w:type="paragraph" w:styleId="Revision">
    <w:name w:val="Revision"/>
    <w:hidden/>
    <w:uiPriority w:val="99"/>
    <w:semiHidden/>
    <w:rsid w:val="008953B8"/>
    <w:rPr>
      <w:rFonts w:eastAsia="Times New Roman"/>
      <w:sz w:val="24"/>
    </w:rPr>
  </w:style>
  <w:style w:type="character" w:styleId="FootnoteReference">
    <w:name w:val="footnote reference"/>
    <w:basedOn w:val="DefaultParagraphFont"/>
    <w:uiPriority w:val="99"/>
    <w:semiHidden/>
    <w:unhideWhenUsed/>
    <w:rsid w:val="00EC45CF"/>
    <w:rPr>
      <w:vertAlign w:val="superscript"/>
    </w:rPr>
  </w:style>
  <w:style w:type="character" w:styleId="Strong">
    <w:name w:val="Strong"/>
    <w:basedOn w:val="DefaultParagraphFont"/>
    <w:uiPriority w:val="22"/>
    <w:qFormat/>
    <w:rsid w:val="00437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1705">
      <w:bodyDiv w:val="1"/>
      <w:marLeft w:val="0"/>
      <w:marRight w:val="0"/>
      <w:marTop w:val="0"/>
      <w:marBottom w:val="0"/>
      <w:divBdr>
        <w:top w:val="none" w:sz="0" w:space="0" w:color="auto"/>
        <w:left w:val="none" w:sz="0" w:space="0" w:color="auto"/>
        <w:bottom w:val="none" w:sz="0" w:space="0" w:color="auto"/>
        <w:right w:val="none" w:sz="0" w:space="0" w:color="auto"/>
      </w:divBdr>
    </w:div>
    <w:div w:id="204145739">
      <w:bodyDiv w:val="1"/>
      <w:marLeft w:val="0"/>
      <w:marRight w:val="0"/>
      <w:marTop w:val="0"/>
      <w:marBottom w:val="0"/>
      <w:divBdr>
        <w:top w:val="none" w:sz="0" w:space="0" w:color="auto"/>
        <w:left w:val="none" w:sz="0" w:space="0" w:color="auto"/>
        <w:bottom w:val="none" w:sz="0" w:space="0" w:color="auto"/>
        <w:right w:val="none" w:sz="0" w:space="0" w:color="auto"/>
      </w:divBdr>
    </w:div>
    <w:div w:id="260572889">
      <w:bodyDiv w:val="1"/>
      <w:marLeft w:val="0"/>
      <w:marRight w:val="0"/>
      <w:marTop w:val="0"/>
      <w:marBottom w:val="0"/>
      <w:divBdr>
        <w:top w:val="none" w:sz="0" w:space="0" w:color="auto"/>
        <w:left w:val="none" w:sz="0" w:space="0" w:color="auto"/>
        <w:bottom w:val="none" w:sz="0" w:space="0" w:color="auto"/>
        <w:right w:val="none" w:sz="0" w:space="0" w:color="auto"/>
      </w:divBdr>
    </w:div>
    <w:div w:id="300619477">
      <w:bodyDiv w:val="1"/>
      <w:marLeft w:val="0"/>
      <w:marRight w:val="0"/>
      <w:marTop w:val="0"/>
      <w:marBottom w:val="0"/>
      <w:divBdr>
        <w:top w:val="none" w:sz="0" w:space="0" w:color="auto"/>
        <w:left w:val="none" w:sz="0" w:space="0" w:color="auto"/>
        <w:bottom w:val="none" w:sz="0" w:space="0" w:color="auto"/>
        <w:right w:val="none" w:sz="0" w:space="0" w:color="auto"/>
      </w:divBdr>
    </w:div>
    <w:div w:id="724065693">
      <w:bodyDiv w:val="1"/>
      <w:marLeft w:val="0"/>
      <w:marRight w:val="0"/>
      <w:marTop w:val="0"/>
      <w:marBottom w:val="0"/>
      <w:divBdr>
        <w:top w:val="none" w:sz="0" w:space="0" w:color="auto"/>
        <w:left w:val="none" w:sz="0" w:space="0" w:color="auto"/>
        <w:bottom w:val="none" w:sz="0" w:space="0" w:color="auto"/>
        <w:right w:val="none" w:sz="0" w:space="0" w:color="auto"/>
      </w:divBdr>
    </w:div>
    <w:div w:id="781344083">
      <w:bodyDiv w:val="1"/>
      <w:marLeft w:val="0"/>
      <w:marRight w:val="0"/>
      <w:marTop w:val="0"/>
      <w:marBottom w:val="0"/>
      <w:divBdr>
        <w:top w:val="none" w:sz="0" w:space="0" w:color="auto"/>
        <w:left w:val="none" w:sz="0" w:space="0" w:color="auto"/>
        <w:bottom w:val="none" w:sz="0" w:space="0" w:color="auto"/>
        <w:right w:val="none" w:sz="0" w:space="0" w:color="auto"/>
      </w:divBdr>
    </w:div>
    <w:div w:id="790173922">
      <w:bodyDiv w:val="1"/>
      <w:marLeft w:val="0"/>
      <w:marRight w:val="0"/>
      <w:marTop w:val="0"/>
      <w:marBottom w:val="0"/>
      <w:divBdr>
        <w:top w:val="none" w:sz="0" w:space="0" w:color="auto"/>
        <w:left w:val="none" w:sz="0" w:space="0" w:color="auto"/>
        <w:bottom w:val="none" w:sz="0" w:space="0" w:color="auto"/>
        <w:right w:val="none" w:sz="0" w:space="0" w:color="auto"/>
      </w:divBdr>
      <w:divsChild>
        <w:div w:id="1464231104">
          <w:marLeft w:val="0"/>
          <w:marRight w:val="0"/>
          <w:marTop w:val="0"/>
          <w:marBottom w:val="0"/>
          <w:divBdr>
            <w:top w:val="none" w:sz="0" w:space="0" w:color="auto"/>
            <w:left w:val="none" w:sz="0" w:space="0" w:color="auto"/>
            <w:bottom w:val="none" w:sz="0" w:space="0" w:color="auto"/>
            <w:right w:val="none" w:sz="0" w:space="0" w:color="auto"/>
          </w:divBdr>
          <w:divsChild>
            <w:div w:id="8913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5392">
      <w:bodyDiv w:val="1"/>
      <w:marLeft w:val="0"/>
      <w:marRight w:val="0"/>
      <w:marTop w:val="0"/>
      <w:marBottom w:val="0"/>
      <w:divBdr>
        <w:top w:val="none" w:sz="0" w:space="0" w:color="auto"/>
        <w:left w:val="none" w:sz="0" w:space="0" w:color="auto"/>
        <w:bottom w:val="none" w:sz="0" w:space="0" w:color="auto"/>
        <w:right w:val="none" w:sz="0" w:space="0" w:color="auto"/>
      </w:divBdr>
    </w:div>
    <w:div w:id="984820398">
      <w:bodyDiv w:val="1"/>
      <w:marLeft w:val="0"/>
      <w:marRight w:val="0"/>
      <w:marTop w:val="0"/>
      <w:marBottom w:val="0"/>
      <w:divBdr>
        <w:top w:val="none" w:sz="0" w:space="0" w:color="auto"/>
        <w:left w:val="none" w:sz="0" w:space="0" w:color="auto"/>
        <w:bottom w:val="none" w:sz="0" w:space="0" w:color="auto"/>
        <w:right w:val="none" w:sz="0" w:space="0" w:color="auto"/>
      </w:divBdr>
    </w:div>
    <w:div w:id="1209492370">
      <w:bodyDiv w:val="1"/>
      <w:marLeft w:val="0"/>
      <w:marRight w:val="0"/>
      <w:marTop w:val="0"/>
      <w:marBottom w:val="0"/>
      <w:divBdr>
        <w:top w:val="none" w:sz="0" w:space="0" w:color="auto"/>
        <w:left w:val="none" w:sz="0" w:space="0" w:color="auto"/>
        <w:bottom w:val="none" w:sz="0" w:space="0" w:color="auto"/>
        <w:right w:val="none" w:sz="0" w:space="0" w:color="auto"/>
      </w:divBdr>
    </w:div>
    <w:div w:id="1269268208">
      <w:bodyDiv w:val="1"/>
      <w:marLeft w:val="0"/>
      <w:marRight w:val="0"/>
      <w:marTop w:val="0"/>
      <w:marBottom w:val="0"/>
      <w:divBdr>
        <w:top w:val="none" w:sz="0" w:space="0" w:color="auto"/>
        <w:left w:val="none" w:sz="0" w:space="0" w:color="auto"/>
        <w:bottom w:val="none" w:sz="0" w:space="0" w:color="auto"/>
        <w:right w:val="none" w:sz="0" w:space="0" w:color="auto"/>
      </w:divBdr>
    </w:div>
    <w:div w:id="1301686779">
      <w:bodyDiv w:val="1"/>
      <w:marLeft w:val="0"/>
      <w:marRight w:val="0"/>
      <w:marTop w:val="0"/>
      <w:marBottom w:val="0"/>
      <w:divBdr>
        <w:top w:val="none" w:sz="0" w:space="0" w:color="auto"/>
        <w:left w:val="none" w:sz="0" w:space="0" w:color="auto"/>
        <w:bottom w:val="none" w:sz="0" w:space="0" w:color="auto"/>
        <w:right w:val="none" w:sz="0" w:space="0" w:color="auto"/>
      </w:divBdr>
    </w:div>
    <w:div w:id="1308903221">
      <w:bodyDiv w:val="1"/>
      <w:marLeft w:val="0"/>
      <w:marRight w:val="0"/>
      <w:marTop w:val="0"/>
      <w:marBottom w:val="0"/>
      <w:divBdr>
        <w:top w:val="none" w:sz="0" w:space="0" w:color="auto"/>
        <w:left w:val="none" w:sz="0" w:space="0" w:color="auto"/>
        <w:bottom w:val="none" w:sz="0" w:space="0" w:color="auto"/>
        <w:right w:val="none" w:sz="0" w:space="0" w:color="auto"/>
      </w:divBdr>
    </w:div>
    <w:div w:id="1372072299">
      <w:bodyDiv w:val="1"/>
      <w:marLeft w:val="0"/>
      <w:marRight w:val="0"/>
      <w:marTop w:val="0"/>
      <w:marBottom w:val="0"/>
      <w:divBdr>
        <w:top w:val="none" w:sz="0" w:space="0" w:color="auto"/>
        <w:left w:val="none" w:sz="0" w:space="0" w:color="auto"/>
        <w:bottom w:val="none" w:sz="0" w:space="0" w:color="auto"/>
        <w:right w:val="none" w:sz="0" w:space="0" w:color="auto"/>
      </w:divBdr>
    </w:div>
    <w:div w:id="1383745883">
      <w:bodyDiv w:val="1"/>
      <w:marLeft w:val="0"/>
      <w:marRight w:val="0"/>
      <w:marTop w:val="0"/>
      <w:marBottom w:val="0"/>
      <w:divBdr>
        <w:top w:val="none" w:sz="0" w:space="0" w:color="auto"/>
        <w:left w:val="none" w:sz="0" w:space="0" w:color="auto"/>
        <w:bottom w:val="none" w:sz="0" w:space="0" w:color="auto"/>
        <w:right w:val="none" w:sz="0" w:space="0" w:color="auto"/>
      </w:divBdr>
    </w:div>
    <w:div w:id="1409352663">
      <w:bodyDiv w:val="1"/>
      <w:marLeft w:val="0"/>
      <w:marRight w:val="0"/>
      <w:marTop w:val="0"/>
      <w:marBottom w:val="0"/>
      <w:divBdr>
        <w:top w:val="none" w:sz="0" w:space="0" w:color="auto"/>
        <w:left w:val="none" w:sz="0" w:space="0" w:color="auto"/>
        <w:bottom w:val="none" w:sz="0" w:space="0" w:color="auto"/>
        <w:right w:val="none" w:sz="0" w:space="0" w:color="auto"/>
      </w:divBdr>
    </w:div>
    <w:div w:id="1413087576">
      <w:bodyDiv w:val="1"/>
      <w:marLeft w:val="0"/>
      <w:marRight w:val="0"/>
      <w:marTop w:val="0"/>
      <w:marBottom w:val="0"/>
      <w:divBdr>
        <w:top w:val="none" w:sz="0" w:space="0" w:color="auto"/>
        <w:left w:val="none" w:sz="0" w:space="0" w:color="auto"/>
        <w:bottom w:val="none" w:sz="0" w:space="0" w:color="auto"/>
        <w:right w:val="none" w:sz="0" w:space="0" w:color="auto"/>
      </w:divBdr>
    </w:div>
    <w:div w:id="1467044260">
      <w:bodyDiv w:val="1"/>
      <w:marLeft w:val="0"/>
      <w:marRight w:val="0"/>
      <w:marTop w:val="0"/>
      <w:marBottom w:val="0"/>
      <w:divBdr>
        <w:top w:val="none" w:sz="0" w:space="0" w:color="auto"/>
        <w:left w:val="none" w:sz="0" w:space="0" w:color="auto"/>
        <w:bottom w:val="none" w:sz="0" w:space="0" w:color="auto"/>
        <w:right w:val="none" w:sz="0" w:space="0" w:color="auto"/>
      </w:divBdr>
    </w:div>
    <w:div w:id="1534148544">
      <w:bodyDiv w:val="1"/>
      <w:marLeft w:val="0"/>
      <w:marRight w:val="0"/>
      <w:marTop w:val="0"/>
      <w:marBottom w:val="0"/>
      <w:divBdr>
        <w:top w:val="none" w:sz="0" w:space="0" w:color="auto"/>
        <w:left w:val="none" w:sz="0" w:space="0" w:color="auto"/>
        <w:bottom w:val="none" w:sz="0" w:space="0" w:color="auto"/>
        <w:right w:val="none" w:sz="0" w:space="0" w:color="auto"/>
      </w:divBdr>
    </w:div>
    <w:div w:id="1611663227">
      <w:bodyDiv w:val="1"/>
      <w:marLeft w:val="0"/>
      <w:marRight w:val="0"/>
      <w:marTop w:val="0"/>
      <w:marBottom w:val="0"/>
      <w:divBdr>
        <w:top w:val="none" w:sz="0" w:space="0" w:color="auto"/>
        <w:left w:val="none" w:sz="0" w:space="0" w:color="auto"/>
        <w:bottom w:val="none" w:sz="0" w:space="0" w:color="auto"/>
        <w:right w:val="none" w:sz="0" w:space="0" w:color="auto"/>
      </w:divBdr>
    </w:div>
    <w:div w:id="1723752177">
      <w:bodyDiv w:val="1"/>
      <w:marLeft w:val="0"/>
      <w:marRight w:val="0"/>
      <w:marTop w:val="0"/>
      <w:marBottom w:val="0"/>
      <w:divBdr>
        <w:top w:val="none" w:sz="0" w:space="0" w:color="auto"/>
        <w:left w:val="none" w:sz="0" w:space="0" w:color="auto"/>
        <w:bottom w:val="none" w:sz="0" w:space="0" w:color="auto"/>
        <w:right w:val="none" w:sz="0" w:space="0" w:color="auto"/>
      </w:divBdr>
      <w:divsChild>
        <w:div w:id="121773594">
          <w:marLeft w:val="0"/>
          <w:marRight w:val="0"/>
          <w:marTop w:val="0"/>
          <w:marBottom w:val="0"/>
          <w:divBdr>
            <w:top w:val="none" w:sz="0" w:space="0" w:color="auto"/>
            <w:left w:val="none" w:sz="0" w:space="0" w:color="auto"/>
            <w:bottom w:val="none" w:sz="0" w:space="0" w:color="auto"/>
            <w:right w:val="none" w:sz="0" w:space="0" w:color="auto"/>
          </w:divBdr>
          <w:divsChild>
            <w:div w:id="2082291406">
              <w:marLeft w:val="0"/>
              <w:marRight w:val="0"/>
              <w:marTop w:val="0"/>
              <w:marBottom w:val="0"/>
              <w:divBdr>
                <w:top w:val="none" w:sz="0" w:space="0" w:color="auto"/>
                <w:left w:val="none" w:sz="0" w:space="0" w:color="auto"/>
                <w:bottom w:val="none" w:sz="0" w:space="0" w:color="auto"/>
                <w:right w:val="none" w:sz="0" w:space="0" w:color="auto"/>
              </w:divBdr>
              <w:divsChild>
                <w:div w:id="119612135">
                  <w:marLeft w:val="0"/>
                  <w:marRight w:val="0"/>
                  <w:marTop w:val="0"/>
                  <w:marBottom w:val="0"/>
                  <w:divBdr>
                    <w:top w:val="none" w:sz="0" w:space="0" w:color="auto"/>
                    <w:left w:val="none" w:sz="0" w:space="0" w:color="auto"/>
                    <w:bottom w:val="none" w:sz="0" w:space="0" w:color="auto"/>
                    <w:right w:val="none" w:sz="0" w:space="0" w:color="auto"/>
                  </w:divBdr>
                  <w:divsChild>
                    <w:div w:id="1787918952">
                      <w:marLeft w:val="0"/>
                      <w:marRight w:val="0"/>
                      <w:marTop w:val="0"/>
                      <w:marBottom w:val="0"/>
                      <w:divBdr>
                        <w:top w:val="none" w:sz="0" w:space="0" w:color="auto"/>
                        <w:left w:val="none" w:sz="0" w:space="0" w:color="auto"/>
                        <w:bottom w:val="none" w:sz="0" w:space="0" w:color="auto"/>
                        <w:right w:val="none" w:sz="0" w:space="0" w:color="auto"/>
                      </w:divBdr>
                      <w:divsChild>
                        <w:div w:id="1245454765">
                          <w:marLeft w:val="-225"/>
                          <w:marRight w:val="-225"/>
                          <w:marTop w:val="0"/>
                          <w:marBottom w:val="300"/>
                          <w:divBdr>
                            <w:top w:val="none" w:sz="0" w:space="0" w:color="auto"/>
                            <w:left w:val="none" w:sz="0" w:space="0" w:color="auto"/>
                            <w:bottom w:val="none" w:sz="0" w:space="0" w:color="auto"/>
                            <w:right w:val="none" w:sz="0" w:space="0" w:color="auto"/>
                          </w:divBdr>
                          <w:divsChild>
                            <w:div w:id="1463228806">
                              <w:marLeft w:val="0"/>
                              <w:marRight w:val="0"/>
                              <w:marTop w:val="0"/>
                              <w:marBottom w:val="0"/>
                              <w:divBdr>
                                <w:top w:val="none" w:sz="0" w:space="0" w:color="auto"/>
                                <w:left w:val="none" w:sz="0" w:space="0" w:color="auto"/>
                                <w:bottom w:val="none" w:sz="0" w:space="0" w:color="auto"/>
                                <w:right w:val="none" w:sz="0" w:space="0" w:color="auto"/>
                              </w:divBdr>
                              <w:divsChild>
                                <w:div w:id="1963227497">
                                  <w:marLeft w:val="-225"/>
                                  <w:marRight w:val="-225"/>
                                  <w:marTop w:val="0"/>
                                  <w:marBottom w:val="300"/>
                                  <w:divBdr>
                                    <w:top w:val="none" w:sz="0" w:space="0" w:color="auto"/>
                                    <w:left w:val="none" w:sz="0" w:space="0" w:color="auto"/>
                                    <w:bottom w:val="none" w:sz="0" w:space="0" w:color="auto"/>
                                    <w:right w:val="none" w:sz="0" w:space="0" w:color="auto"/>
                                  </w:divBdr>
                                  <w:divsChild>
                                    <w:div w:id="16197561">
                                      <w:marLeft w:val="0"/>
                                      <w:marRight w:val="0"/>
                                      <w:marTop w:val="0"/>
                                      <w:marBottom w:val="0"/>
                                      <w:divBdr>
                                        <w:top w:val="none" w:sz="0" w:space="0" w:color="auto"/>
                                        <w:left w:val="none" w:sz="0" w:space="0" w:color="auto"/>
                                        <w:bottom w:val="none" w:sz="0" w:space="0" w:color="auto"/>
                                        <w:right w:val="none" w:sz="0" w:space="0" w:color="auto"/>
                                      </w:divBdr>
                                      <w:divsChild>
                                        <w:div w:id="5962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372389">
      <w:bodyDiv w:val="1"/>
      <w:marLeft w:val="0"/>
      <w:marRight w:val="0"/>
      <w:marTop w:val="0"/>
      <w:marBottom w:val="0"/>
      <w:divBdr>
        <w:top w:val="none" w:sz="0" w:space="0" w:color="auto"/>
        <w:left w:val="none" w:sz="0" w:space="0" w:color="auto"/>
        <w:bottom w:val="none" w:sz="0" w:space="0" w:color="auto"/>
        <w:right w:val="none" w:sz="0" w:space="0" w:color="auto"/>
      </w:divBdr>
    </w:div>
    <w:div w:id="20239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fortress.wa.gov/ecy/ezshare/AQ/PSD/PSD_PDFS/Tesoro_Anacortes_TS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economic-and-cost-analysis-air-pollution-regulations/cost-reports-and-guidance-air-pollution" TargetMode="External"/><Relationship Id="rId1" Type="http://schemas.openxmlformats.org/officeDocument/2006/relationships/hyperlink" Target="https://www.osha.gov/Publications/OSHA39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1b803b3a-1bb4-4bf2-a78f-b71c78bda936">2021 Chapters</Document_x0020_Category>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A0E44FB3CB40574AB0DC49F778B62073" ma:contentTypeVersion="2" ma:contentTypeDescription="Create a new document." ma:contentTypeScope="" ma:versionID="d9d9516a6aacbadb4a1f2b9ebfbab808">
  <xsd:schema xmlns:xsd="http://www.w3.org/2001/XMLSchema" xmlns:xs="http://www.w3.org/2001/XMLSchema" xmlns:p="http://schemas.microsoft.com/office/2006/metadata/properties" xmlns:ns2="2cdfab95-1cee-43ea-9ce9-69d46a0faa2e" xmlns:ns3="d3230e84-e764-4f9f-8cd0-fd6218ef88ab" xmlns:ns4="1b803b3a-1bb4-4bf2-a78f-b71c78bda936" targetNamespace="http://schemas.microsoft.com/office/2006/metadata/properties" ma:root="true" ma:fieldsID="6401c0602e68660a526a8509ebb4f357" ns2:_="" ns3:_="" ns4:_="">
    <xsd:import namespace="2cdfab95-1cee-43ea-9ce9-69d46a0faa2e"/>
    <xsd:import namespace="d3230e84-e764-4f9f-8cd0-fd6218ef88ab"/>
    <xsd:import namespace="1b803b3a-1bb4-4bf2-a78f-b71c78bda93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fab95-1cee-43ea-9ce9-69d46a0faa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230e84-e764-4f9f-8cd0-fd6218ef88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03b3a-1bb4-4bf2-a78f-b71c78bda936" elementFormDefault="qualified">
    <xsd:import namespace="http://schemas.microsoft.com/office/2006/documentManagement/types"/>
    <xsd:import namespace="http://schemas.microsoft.com/office/infopath/2007/PartnerControls"/>
    <xsd:element name="Document_x0020_Category" ma:index="12" nillable="true" ma:displayName="Document Category" ma:format="Dropdown" ma:internalName="Document_x0020_Category">
      <xsd:simpleType>
        <xsd:union memberTypes="dms:Text">
          <xsd:simpleType>
            <xsd:restriction base="dms:Choice">
              <xsd:enumeration value="2021 Chapters"/>
              <xsd:enumeration value="2021 Support Document"/>
              <xsd:enumeration value="2021 Chapter 11: Pulp &amp; Paper Appendices"/>
              <xsd:enumeration value="2021 Chapter 11: Refineries Appendices"/>
              <xsd:enumeration value="2021 Chapter 11: Other Appendices"/>
              <xsd:enumeration value="Previous Chapters"/>
              <xsd:enumeration value="Industry FFA Reques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2022-92A4-4B03-B5C7-F35BD837263A}">
  <ds:schemaRefs>
    <ds:schemaRef ds:uri="http://schemas.microsoft.com/sharepoint/v3/contenttype/forms"/>
  </ds:schemaRefs>
</ds:datastoreItem>
</file>

<file path=customXml/itemProps2.xml><?xml version="1.0" encoding="utf-8"?>
<ds:datastoreItem xmlns:ds="http://schemas.openxmlformats.org/officeDocument/2006/customXml" ds:itemID="{31660247-F2BB-4DB0-AFB2-0698FE51941B}">
  <ds:schemaRefs>
    <ds:schemaRef ds:uri="http://schemas.microsoft.com/office/2006/metadata/properties"/>
    <ds:schemaRef ds:uri="http://schemas.microsoft.com/office/infopath/2007/PartnerControls"/>
    <ds:schemaRef ds:uri="1b803b3a-1bb4-4bf2-a78f-b71c78bda936"/>
  </ds:schemaRefs>
</ds:datastoreItem>
</file>

<file path=customXml/itemProps3.xml><?xml version="1.0" encoding="utf-8"?>
<ds:datastoreItem xmlns:ds="http://schemas.openxmlformats.org/officeDocument/2006/customXml" ds:itemID="{BA4AB5E5-4DD0-4DE2-99BB-2F41A197C52C}">
  <ds:schemaRefs>
    <ds:schemaRef ds:uri="http://schemas.microsoft.com/sharepoint/events"/>
  </ds:schemaRefs>
</ds:datastoreItem>
</file>

<file path=customXml/itemProps4.xml><?xml version="1.0" encoding="utf-8"?>
<ds:datastoreItem xmlns:ds="http://schemas.openxmlformats.org/officeDocument/2006/customXml" ds:itemID="{3C174902-7DC8-4C61-B3B8-0FFDF4C9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fab95-1cee-43ea-9ce9-69d46a0faa2e"/>
    <ds:schemaRef ds:uri="d3230e84-e764-4f9f-8cd0-fd6218ef88ab"/>
    <ds:schemaRef ds:uri="1b803b3a-1bb4-4bf2-a78f-b71c78bd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773929-41F8-4B97-B0BA-8C9CD546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16937</Words>
  <Characters>96541</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Margaret L (ECY)</dc:creator>
  <cp:keywords/>
  <dc:description/>
  <cp:lastModifiedBy>Wineke, Andrew (ECY)</cp:lastModifiedBy>
  <cp:revision>2</cp:revision>
  <cp:lastPrinted>2020-09-15T16:37:00Z</cp:lastPrinted>
  <dcterms:created xsi:type="dcterms:W3CDTF">2021-01-12T18:23:00Z</dcterms:created>
  <dcterms:modified xsi:type="dcterms:W3CDTF">2021-01-12T18:23:00Z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0x010100A0E44FB3CB40574AB0DC49F778B62073</vt:lpwstr>
  </property>
</Properties>
</file>