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CC452" w14:textId="77777777" w:rsidR="00DB68EB" w:rsidRPr="004430D7" w:rsidRDefault="00DB68EB" w:rsidP="004430D7">
      <w:pPr>
        <w:pStyle w:val="Heading1"/>
        <w:rPr>
          <w:sz w:val="22"/>
        </w:rPr>
      </w:pPr>
      <w:bookmarkStart w:id="0" w:name="_Toc66094455"/>
      <w:bookmarkStart w:id="1" w:name="_Toc66094480"/>
      <w:r w:rsidRPr="004430D7">
        <w:rPr>
          <w:noProof/>
        </w:rPr>
        <w:drawing>
          <wp:anchor distT="0" distB="0" distL="114300" distR="114300" simplePos="0" relativeHeight="251659264" behindDoc="0" locked="0" layoutInCell="1" allowOverlap="1" wp14:anchorId="768FF32B" wp14:editId="0B709DED">
            <wp:simplePos x="0" y="0"/>
            <wp:positionH relativeFrom="margin">
              <wp:align>left</wp:align>
            </wp:positionH>
            <wp:positionV relativeFrom="paragraph">
              <wp:posOffset>160020</wp:posOffset>
            </wp:positionV>
            <wp:extent cx="716301" cy="799796"/>
            <wp:effectExtent l="0" t="0" r="762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tall-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301" cy="799796"/>
                    </a:xfrm>
                    <a:prstGeom prst="rect">
                      <a:avLst/>
                    </a:prstGeom>
                  </pic:spPr>
                </pic:pic>
              </a:graphicData>
            </a:graphic>
          </wp:anchor>
        </w:drawing>
      </w:r>
      <w:r w:rsidRPr="004430D7">
        <w:t>Plan Example: (WAC 173-182-324) Planning standard for spills of oils that, depending on their chemical properties, environmental factors (weathering), and method of discharge, may submerge or sink</w:t>
      </w:r>
      <w:bookmarkEnd w:id="0"/>
      <w:bookmarkEnd w:id="1"/>
      <w:r w:rsidRPr="004430D7">
        <w:rPr>
          <w:sz w:val="22"/>
        </w:rPr>
        <w:t xml:space="preserve"> </w:t>
      </w:r>
    </w:p>
    <w:p w14:paraId="6D5D3619" w14:textId="77777777" w:rsidR="00B63D97" w:rsidRPr="005A12C6" w:rsidRDefault="00B63D97" w:rsidP="006F668C">
      <w:pPr>
        <w:pStyle w:val="Heading1"/>
      </w:pPr>
      <w:bookmarkStart w:id="2" w:name="_Toc66094456"/>
      <w:bookmarkStart w:id="3" w:name="_Toc66094481"/>
      <w:bookmarkStart w:id="4" w:name="_Toc66202133"/>
      <w:bookmarkStart w:id="5" w:name="_Toc66202687"/>
      <w:r w:rsidRPr="005A12C6">
        <w:t>Purpose and Use of these Instructions</w:t>
      </w:r>
    </w:p>
    <w:p w14:paraId="2BF13F2A" w14:textId="702C391A" w:rsidR="00B63D97" w:rsidRPr="005A12C6" w:rsidRDefault="00B63D97" w:rsidP="00B63D97">
      <w:pPr>
        <w:spacing w:after="0"/>
      </w:pPr>
      <w:r>
        <w:t xml:space="preserve">This sample plan language is intended </w:t>
      </w:r>
      <w:r w:rsidRPr="005A12C6">
        <w:t xml:space="preserve">to assist </w:t>
      </w:r>
      <w:r>
        <w:t>plan holders with meeting the requirements of WAC 173-182-324</w:t>
      </w:r>
      <w:r w:rsidRPr="005A12C6">
        <w:t xml:space="preserve">. This </w:t>
      </w:r>
      <w:r>
        <w:t xml:space="preserve">sample plan </w:t>
      </w:r>
      <w:r w:rsidRPr="005A12C6">
        <w:t xml:space="preserve">can be used in two ways: </w:t>
      </w:r>
    </w:p>
    <w:p w14:paraId="6110FF41" w14:textId="77777777" w:rsidR="00B63D97" w:rsidRPr="005A12C6" w:rsidRDefault="00B63D97" w:rsidP="00B63D97">
      <w:pPr>
        <w:pStyle w:val="ListParagraph"/>
        <w:numPr>
          <w:ilvl w:val="0"/>
          <w:numId w:val="1"/>
        </w:numPr>
      </w:pPr>
      <w:r>
        <w:t>As</w:t>
      </w:r>
      <w:r w:rsidRPr="005A12C6">
        <w:t xml:space="preserve"> an </w:t>
      </w:r>
      <w:r>
        <w:t>outline to compare and update</w:t>
      </w:r>
      <w:r w:rsidRPr="005A12C6">
        <w:t xml:space="preserve"> your existing plan.  </w:t>
      </w:r>
    </w:p>
    <w:p w14:paraId="641D4803" w14:textId="77777777" w:rsidR="00B63D97" w:rsidRPr="00DB68EB" w:rsidRDefault="00B63D97" w:rsidP="00B63D97">
      <w:pPr>
        <w:pStyle w:val="ListParagraph"/>
        <w:numPr>
          <w:ilvl w:val="0"/>
          <w:numId w:val="1"/>
        </w:numPr>
      </w:pPr>
      <w:r w:rsidRPr="00DB68EB">
        <w:t>As a template to develop a new plan to send to the state.</w:t>
      </w:r>
    </w:p>
    <w:p w14:paraId="52608E67" w14:textId="77777777" w:rsidR="00B63D97" w:rsidRPr="005A12C6" w:rsidRDefault="00B63D97" w:rsidP="006F668C">
      <w:pPr>
        <w:pStyle w:val="Heading2"/>
      </w:pPr>
      <w:r w:rsidRPr="005A12C6">
        <w:t>How to Use this Document</w:t>
      </w:r>
    </w:p>
    <w:p w14:paraId="5D43F429" w14:textId="77777777" w:rsidR="00B63D97" w:rsidRDefault="00B63D97" w:rsidP="00B63D97">
      <w:r>
        <w:t xml:space="preserve"> Your plan does not need to match this sample to be approved. However, your plan must contain the necessary details and narrative which describes your capability in meeting the planning standard this sample was created for.  </w:t>
      </w:r>
    </w:p>
    <w:p w14:paraId="12FAB492" w14:textId="77777777" w:rsidR="00B63D97" w:rsidRDefault="00B63D97" w:rsidP="00B63D97">
      <w:pPr>
        <w:spacing w:after="0"/>
      </w:pPr>
      <w:r w:rsidRPr="005A12C6">
        <w:t xml:space="preserve">Your plan is a tool that should be useful to you. </w:t>
      </w:r>
      <w:r w:rsidRPr="005A12C6">
        <w:t xml:space="preserve">The suggested terminology in this boilerplate may differ from </w:t>
      </w:r>
      <w:r>
        <w:t>your</w:t>
      </w:r>
      <w:r w:rsidRPr="005A12C6">
        <w:t xml:space="preserve"> company specific terminology</w:t>
      </w:r>
      <w:r>
        <w:t>.  When you encounter language not typically used by your company</w:t>
      </w:r>
      <w:r w:rsidRPr="005A12C6">
        <w:t xml:space="preserve">, please substitute </w:t>
      </w:r>
      <w:r>
        <w:t xml:space="preserve">it with </w:t>
      </w:r>
      <w:r w:rsidRPr="005A12C6">
        <w:t>the terms you use. We are not trying to prescribe terminology in the template/boilerplate.</w:t>
      </w:r>
      <w:r>
        <w:t xml:space="preserve"> </w:t>
      </w:r>
      <w:r w:rsidRPr="005A12C6">
        <w:t>We encourage the use of forms, tables, diagrams and checklists in your plan</w:t>
      </w:r>
      <w:r>
        <w:t xml:space="preserve">. </w:t>
      </w:r>
      <w:r w:rsidRPr="005A12C6">
        <w:t>In addition, pages</w:t>
      </w:r>
      <w:r>
        <w:t xml:space="preserve"> and sections</w:t>
      </w:r>
      <w:r w:rsidRPr="005A12C6">
        <w:t xml:space="preserve"> need to be replaceable when updates occur.  </w:t>
      </w:r>
    </w:p>
    <w:p w14:paraId="36EDF931" w14:textId="77777777" w:rsidR="00B63D97" w:rsidRPr="005A12C6" w:rsidRDefault="00B63D97" w:rsidP="00B63D97">
      <w:pPr>
        <w:spacing w:after="0"/>
      </w:pPr>
    </w:p>
    <w:p w14:paraId="627D9076" w14:textId="70A025C9" w:rsidR="00B63D97" w:rsidRPr="005A12C6" w:rsidRDefault="006F668C" w:rsidP="006F668C">
      <w:pPr>
        <w:pStyle w:val="Heading2"/>
      </w:pPr>
      <w:r>
        <w:t xml:space="preserve">Color </w:t>
      </w:r>
      <w:r w:rsidR="00B63D97" w:rsidRPr="005A12C6">
        <w:t xml:space="preserve">key </w:t>
      </w:r>
      <w:r>
        <w:t>for highlighted text</w:t>
      </w:r>
      <w:r w:rsidR="00B63D97" w:rsidRPr="005A12C6">
        <w:t xml:space="preserve"> </w:t>
      </w:r>
    </w:p>
    <w:tbl>
      <w:tblPr>
        <w:tblStyle w:val="TableGrid"/>
        <w:tblW w:w="0" w:type="auto"/>
        <w:tblLook w:val="04A0" w:firstRow="1" w:lastRow="0" w:firstColumn="1" w:lastColumn="0" w:noHBand="0" w:noVBand="1"/>
      </w:tblPr>
      <w:tblGrid>
        <w:gridCol w:w="9350"/>
      </w:tblGrid>
      <w:tr w:rsidR="00B63D97" w:rsidRPr="005A12C6" w14:paraId="75750800" w14:textId="77777777" w:rsidTr="00357563">
        <w:tc>
          <w:tcPr>
            <w:tcW w:w="9350" w:type="dxa"/>
          </w:tcPr>
          <w:p w14:paraId="061BD989" w14:textId="05E8FA31" w:rsidR="00B63D97" w:rsidRPr="00EE011B" w:rsidRDefault="00B63D97" w:rsidP="00357563">
            <w:pPr>
              <w:rPr>
                <w:highlight w:val="yellow"/>
              </w:rPr>
            </w:pPr>
            <w:r w:rsidRPr="00EE011B">
              <w:rPr>
                <w:b/>
              </w:rPr>
              <w:t>Non-highlighted text:</w:t>
            </w:r>
            <w:r>
              <w:rPr>
                <w:b/>
              </w:rPr>
              <w:t xml:space="preserve"> </w:t>
            </w:r>
            <w:r>
              <w:t>The intent of non-highlighted text is to provide you with general language suggestions for your response plan. It is presented as an example of the type of information that should be included in your response plan. You can use this text as written, or make changes to the text so that it accurately describes your response capabilities and response posture.</w:t>
            </w:r>
          </w:p>
        </w:tc>
      </w:tr>
      <w:tr w:rsidR="00B63D97" w:rsidRPr="005A12C6" w14:paraId="737C515D" w14:textId="77777777" w:rsidTr="00357563">
        <w:tc>
          <w:tcPr>
            <w:tcW w:w="9350" w:type="dxa"/>
          </w:tcPr>
          <w:p w14:paraId="25C0E0C9" w14:textId="77777777" w:rsidR="00B63D97" w:rsidRPr="005A12C6" w:rsidRDefault="00B63D97" w:rsidP="00357563">
            <w:r>
              <w:rPr>
                <w:b/>
                <w:highlight w:val="yellow"/>
              </w:rPr>
              <w:t xml:space="preserve">Yellow highlighted text: </w:t>
            </w:r>
            <w:r w:rsidRPr="00EF48ED">
              <w:t>Provide us your company-specific information</w:t>
            </w:r>
            <w:r>
              <w:t>. Where you see yellow highlights</w:t>
            </w:r>
            <w:r w:rsidRPr="005A12C6">
              <w:t xml:space="preserve"> </w:t>
            </w:r>
            <w:r>
              <w:t>you will need to replace the text with language specific to your company.</w:t>
            </w:r>
          </w:p>
        </w:tc>
      </w:tr>
      <w:tr w:rsidR="00B63D97" w:rsidRPr="005A12C6" w14:paraId="54B360B1" w14:textId="77777777" w:rsidTr="00357563">
        <w:tc>
          <w:tcPr>
            <w:tcW w:w="9350" w:type="dxa"/>
          </w:tcPr>
          <w:p w14:paraId="034A4E88" w14:textId="77777777" w:rsidR="00B63D97" w:rsidRDefault="00B63D97" w:rsidP="00357563">
            <w:pPr>
              <w:rPr>
                <w:b/>
                <w:highlight w:val="yellow"/>
              </w:rPr>
            </w:pPr>
            <w:r>
              <w:rPr>
                <w:b/>
                <w:highlight w:val="green"/>
              </w:rPr>
              <w:t>Green</w:t>
            </w:r>
            <w:r w:rsidRPr="00EF48ED">
              <w:rPr>
                <w:b/>
                <w:highlight w:val="green"/>
              </w:rPr>
              <w:t xml:space="preserve"> highlighted text:</w:t>
            </w:r>
            <w:r w:rsidRPr="00EF48ED">
              <w:rPr>
                <w:b/>
              </w:rPr>
              <w:t xml:space="preserve"> </w:t>
            </w:r>
            <w:r w:rsidRPr="00EF48ED">
              <w:t>Green highlights are used to note instructions and areas where Ecology is explaining what you need to put in your plan. This text should be deleted before you finalize your document.</w:t>
            </w:r>
            <w:r w:rsidRPr="00EF48ED">
              <w:rPr>
                <w:b/>
              </w:rPr>
              <w:t xml:space="preserve">  </w:t>
            </w:r>
          </w:p>
        </w:tc>
      </w:tr>
    </w:tbl>
    <w:p w14:paraId="0091435E" w14:textId="77777777" w:rsidR="00B63D97" w:rsidRDefault="00B63D97" w:rsidP="00B63D97">
      <w:pPr>
        <w:spacing w:after="0"/>
        <w:rPr>
          <w:b/>
        </w:rPr>
      </w:pPr>
    </w:p>
    <w:p w14:paraId="2D9AE33F" w14:textId="77777777" w:rsidR="005C688D" w:rsidRPr="005C688D" w:rsidRDefault="00E006E3" w:rsidP="006F668C">
      <w:pPr>
        <w:pStyle w:val="Heading2"/>
      </w:pPr>
      <w:bookmarkStart w:id="6" w:name="_Toc66094461"/>
      <w:bookmarkStart w:id="7" w:name="_Toc66094486"/>
      <w:bookmarkEnd w:id="2"/>
      <w:bookmarkEnd w:id="3"/>
      <w:bookmarkEnd w:id="4"/>
      <w:bookmarkEnd w:id="5"/>
      <w:r>
        <w:t>How to meet the NFO rule requirements</w:t>
      </w:r>
      <w:bookmarkEnd w:id="6"/>
      <w:bookmarkEnd w:id="7"/>
    </w:p>
    <w:p w14:paraId="2A0CA09C" w14:textId="6E3BA4CD" w:rsidR="005C688D" w:rsidRDefault="005C688D" w:rsidP="005C688D">
      <w:pPr>
        <w:spacing w:after="0"/>
      </w:pPr>
      <w:r>
        <w:t xml:space="preserve">The first step in meeting the non-floating oil requirement is to assess the types of oils listed in your plan and </w:t>
      </w:r>
      <w:hyperlink r:id="rId8" w:history="1">
        <w:r w:rsidRPr="00047839">
          <w:rPr>
            <w:rStyle w:val="Hyperlink"/>
          </w:rPr>
          <w:t xml:space="preserve">identify which oils </w:t>
        </w:r>
        <w:r w:rsidR="005C02BF">
          <w:rPr>
            <w:rStyle w:val="Hyperlink"/>
          </w:rPr>
          <w:t>have the potential to</w:t>
        </w:r>
        <w:r w:rsidR="005C02BF" w:rsidRPr="00047839">
          <w:rPr>
            <w:rStyle w:val="Hyperlink"/>
          </w:rPr>
          <w:t xml:space="preserve"> </w:t>
        </w:r>
        <w:r w:rsidRPr="00047839">
          <w:rPr>
            <w:rStyle w:val="Hyperlink"/>
          </w:rPr>
          <w:t>sink or submerge</w:t>
        </w:r>
      </w:hyperlink>
      <w:r w:rsidR="005C02BF">
        <w:rPr>
          <w:rStyle w:val="Hyperlink"/>
        </w:rPr>
        <w:t xml:space="preserve">. </w:t>
      </w:r>
      <w:r>
        <w:t xml:space="preserve"> </w:t>
      </w:r>
      <w:r w:rsidR="005C02BF">
        <w:t>This can be due to</w:t>
      </w:r>
      <w:r>
        <w:t xml:space="preserve"> the</w:t>
      </w:r>
      <w:r w:rsidR="00136E21">
        <w:t xml:space="preserve"> products</w:t>
      </w:r>
      <w:r>
        <w:t xml:space="preserve"> densit</w:t>
      </w:r>
      <w:r w:rsidR="00136E21">
        <w:t>y</w:t>
      </w:r>
      <w:r>
        <w:t xml:space="preserve"> </w:t>
      </w:r>
      <w:r w:rsidR="005C02BF">
        <w:t xml:space="preserve">being </w:t>
      </w:r>
      <w:r>
        <w:t xml:space="preserve"> </w:t>
      </w:r>
      <w:r w:rsidR="00136E21">
        <w:t xml:space="preserve">close to, or </w:t>
      </w:r>
      <w:r w:rsidR="005C02BF">
        <w:t xml:space="preserve">greater </w:t>
      </w:r>
      <w:r>
        <w:t>than</w:t>
      </w:r>
      <w:r w:rsidR="00136E21">
        <w:t>, the density</w:t>
      </w:r>
      <w:r w:rsidR="005C02BF">
        <w:t xml:space="preserve"> of</w:t>
      </w:r>
      <w:r w:rsidR="00136E21">
        <w:t xml:space="preserve"> a</w:t>
      </w:r>
      <w:r>
        <w:t xml:space="preserve"> </w:t>
      </w:r>
      <w:r w:rsidR="005C02BF">
        <w:t>recei</w:t>
      </w:r>
      <w:bookmarkStart w:id="8" w:name="_GoBack"/>
      <w:bookmarkEnd w:id="8"/>
      <w:r w:rsidR="005C02BF">
        <w:t xml:space="preserve">ving </w:t>
      </w:r>
      <w:r>
        <w:t>water</w:t>
      </w:r>
      <w:r w:rsidR="005C02BF">
        <w:t xml:space="preserve"> body</w:t>
      </w:r>
      <w:r w:rsidR="00136E21">
        <w:t xml:space="preserve">, either initially or as a result of weathering. </w:t>
      </w:r>
      <w:r>
        <w:t>This would include:</w:t>
      </w:r>
    </w:p>
    <w:p w14:paraId="0B12263E" w14:textId="6A0FE0DF" w:rsidR="00136E21" w:rsidRDefault="00136E21" w:rsidP="006F668C">
      <w:pPr>
        <w:spacing w:after="0"/>
        <w:sectPr w:rsidR="00136E21">
          <w:footerReference w:type="default" r:id="rId9"/>
          <w:pgSz w:w="12240" w:h="15840"/>
          <w:pgMar w:top="1440" w:right="1440" w:bottom="1440" w:left="1440" w:header="720" w:footer="720" w:gutter="0"/>
          <w:cols w:space="720"/>
          <w:docGrid w:linePitch="360"/>
        </w:sectPr>
      </w:pPr>
    </w:p>
    <w:p w14:paraId="5251DA9C" w14:textId="77777777" w:rsidR="005C688D" w:rsidRDefault="00E006E3" w:rsidP="00E006E3">
      <w:pPr>
        <w:pStyle w:val="ListParagraph"/>
        <w:numPr>
          <w:ilvl w:val="0"/>
          <w:numId w:val="4"/>
        </w:numPr>
        <w:spacing w:after="0"/>
        <w:ind w:left="1800" w:right="810" w:hanging="360"/>
      </w:pPr>
      <w:r>
        <w:t>Crude oils</w:t>
      </w:r>
    </w:p>
    <w:p w14:paraId="293C7474" w14:textId="77777777" w:rsidR="005C688D" w:rsidRDefault="00E006E3" w:rsidP="00E006E3">
      <w:pPr>
        <w:pStyle w:val="ListParagraph"/>
        <w:numPr>
          <w:ilvl w:val="0"/>
          <w:numId w:val="4"/>
        </w:numPr>
        <w:spacing w:after="0"/>
        <w:ind w:left="1800" w:hanging="360"/>
      </w:pPr>
      <w:r>
        <w:t>Heavy fuel oils</w:t>
      </w:r>
    </w:p>
    <w:p w14:paraId="0F4C618E" w14:textId="77777777" w:rsidR="005C688D" w:rsidRDefault="005C688D" w:rsidP="00E006E3">
      <w:pPr>
        <w:pStyle w:val="ListParagraph"/>
        <w:numPr>
          <w:ilvl w:val="0"/>
          <w:numId w:val="4"/>
        </w:numPr>
        <w:spacing w:after="0"/>
        <w:ind w:left="1800" w:hanging="360"/>
      </w:pPr>
      <w:r>
        <w:t>Vacuum gas oil</w:t>
      </w:r>
    </w:p>
    <w:p w14:paraId="00474F25" w14:textId="77777777" w:rsidR="005C688D" w:rsidRDefault="00E006E3" w:rsidP="00E006E3">
      <w:pPr>
        <w:pStyle w:val="ListParagraph"/>
        <w:numPr>
          <w:ilvl w:val="0"/>
          <w:numId w:val="4"/>
        </w:numPr>
        <w:spacing w:after="0"/>
        <w:ind w:left="-90" w:hanging="270"/>
      </w:pPr>
      <w:r>
        <w:t>Used and waste oils</w:t>
      </w:r>
    </w:p>
    <w:p w14:paraId="4AB3E7A7" w14:textId="77777777" w:rsidR="005C688D" w:rsidRDefault="00E006E3" w:rsidP="00E006E3">
      <w:pPr>
        <w:pStyle w:val="ListParagraph"/>
        <w:numPr>
          <w:ilvl w:val="0"/>
          <w:numId w:val="4"/>
        </w:numPr>
        <w:spacing w:after="0"/>
        <w:ind w:left="-90" w:hanging="270"/>
      </w:pPr>
      <w:r>
        <w:t>Asphalt and asphalt products</w:t>
      </w:r>
    </w:p>
    <w:p w14:paraId="685E60C0" w14:textId="3F56BF6D" w:rsidR="00136E21" w:rsidRDefault="00E006E3" w:rsidP="006F668C">
      <w:pPr>
        <w:pStyle w:val="ListParagraph"/>
        <w:numPr>
          <w:ilvl w:val="0"/>
          <w:numId w:val="4"/>
        </w:numPr>
        <w:spacing w:after="0"/>
        <w:ind w:left="-90" w:hanging="270"/>
        <w:sectPr w:rsidR="00136E21" w:rsidSect="00E006E3">
          <w:type w:val="continuous"/>
          <w:pgSz w:w="12240" w:h="15840"/>
          <w:pgMar w:top="1440" w:right="1440" w:bottom="1440" w:left="1440" w:header="720" w:footer="720" w:gutter="0"/>
          <w:cols w:num="2" w:space="720"/>
          <w:docGrid w:linePitch="360"/>
        </w:sectPr>
      </w:pPr>
      <w:r>
        <w:t>Decant oil</w:t>
      </w:r>
    </w:p>
    <w:p w14:paraId="672E8602" w14:textId="50A501A1" w:rsidR="005C688D" w:rsidRDefault="005C688D" w:rsidP="005C688D">
      <w:pPr>
        <w:spacing w:after="0"/>
      </w:pPr>
      <w:r>
        <w:lastRenderedPageBreak/>
        <w:t>If non-floating oils are identified in your plan, the plan should describe how</w:t>
      </w:r>
      <w:r w:rsidR="00136E21">
        <w:t xml:space="preserve"> an</w:t>
      </w:r>
      <w:r>
        <w:t xml:space="preserve"> initial assessment </w:t>
      </w:r>
      <w:r w:rsidR="00136E21">
        <w:t>would be</w:t>
      </w:r>
      <w:r>
        <w:t xml:space="preserve"> conducted</w:t>
      </w:r>
      <w:r w:rsidR="00136E21">
        <w:t xml:space="preserve"> to determine the likelihood of the spilled product ceasing</w:t>
      </w:r>
      <w:r w:rsidR="00DE24F3">
        <w:t xml:space="preserve"> to float during that particular incident. The plan must also </w:t>
      </w:r>
      <w:r>
        <w:t>meet the equipment standards described in the rule</w:t>
      </w:r>
      <w:r w:rsidR="00DE24F3">
        <w:t>,</w:t>
      </w:r>
      <w:r>
        <w:t xml:space="preserve"> and include a description of the process for detecting, delineating, and recovering non-floating oils in the areas that may be impacted (you may cite the NWACP in meeting this part of the requirements).</w:t>
      </w:r>
    </w:p>
    <w:p w14:paraId="64F28764" w14:textId="77777777" w:rsidR="005C688D" w:rsidRDefault="005C688D" w:rsidP="00DB68EB">
      <w:pPr>
        <w:spacing w:after="0"/>
        <w:rPr>
          <w:b/>
        </w:rPr>
      </w:pPr>
    </w:p>
    <w:p w14:paraId="4839E527" w14:textId="77777777" w:rsidR="00B63D97" w:rsidRPr="00BA4DF7" w:rsidRDefault="00B63D97" w:rsidP="00B63D97">
      <w:pPr>
        <w:pStyle w:val="Heading2"/>
      </w:pPr>
      <w:r w:rsidRPr="005A12C6">
        <w:t>When Ready to Send Ecology Your Plan:</w:t>
      </w:r>
    </w:p>
    <w:p w14:paraId="7018EB3F" w14:textId="77777777" w:rsidR="00B63D97" w:rsidRPr="005A12C6" w:rsidRDefault="00B63D97" w:rsidP="00B63D97">
      <w:pPr>
        <w:pStyle w:val="ListParagraph"/>
        <w:numPr>
          <w:ilvl w:val="0"/>
          <w:numId w:val="2"/>
        </w:numPr>
        <w:spacing w:after="0"/>
        <w:ind w:left="720"/>
      </w:pPr>
      <w:r w:rsidRPr="005A12C6">
        <w:t>Remember to delete color coded text and highlights.</w:t>
      </w:r>
    </w:p>
    <w:p w14:paraId="0705C72D" w14:textId="77777777" w:rsidR="00B63D97" w:rsidRPr="005A12C6" w:rsidRDefault="00B63D97" w:rsidP="00B63D97">
      <w:pPr>
        <w:pStyle w:val="ListParagraph"/>
        <w:numPr>
          <w:ilvl w:val="0"/>
          <w:numId w:val="2"/>
        </w:numPr>
        <w:ind w:left="720"/>
      </w:pPr>
      <w:r w:rsidRPr="005A12C6">
        <w:t>Delete the instructional pages.</w:t>
      </w:r>
    </w:p>
    <w:p w14:paraId="03B6C36C" w14:textId="77777777" w:rsidR="00B63D97" w:rsidRPr="005A12C6" w:rsidRDefault="00B63D97" w:rsidP="00B63D97">
      <w:pPr>
        <w:pStyle w:val="ListParagraph"/>
        <w:numPr>
          <w:ilvl w:val="0"/>
          <w:numId w:val="2"/>
        </w:numPr>
        <w:ind w:left="720"/>
      </w:pPr>
      <w:r w:rsidRPr="005A12C6">
        <w:t>Check footnotes in the document and ensure accuracy of the date and version of the plan you are submitting.</w:t>
      </w:r>
    </w:p>
    <w:p w14:paraId="1573B0F2" w14:textId="77777777" w:rsidR="00B63D97" w:rsidRPr="005A12C6" w:rsidRDefault="00B63D97" w:rsidP="00B63D97">
      <w:pPr>
        <w:pStyle w:val="ListParagraph"/>
        <w:numPr>
          <w:ilvl w:val="0"/>
          <w:numId w:val="2"/>
        </w:numPr>
        <w:ind w:left="720"/>
      </w:pPr>
      <w:r w:rsidRPr="005A12C6">
        <w:t xml:space="preserve">Number your pages – </w:t>
      </w:r>
      <w:r>
        <w:t>your</w:t>
      </w:r>
      <w:r w:rsidRPr="005A12C6">
        <w:t xml:space="preserve"> plan must have page numbers in it</w:t>
      </w:r>
      <w:r>
        <w:t xml:space="preserve"> and they should match the page/section numbers of the rest of your plan</w:t>
      </w:r>
      <w:r w:rsidRPr="005A12C6">
        <w:t>.</w:t>
      </w:r>
    </w:p>
    <w:p w14:paraId="1257FBEC" w14:textId="77777777" w:rsidR="00B63D97" w:rsidRDefault="00B63D97" w:rsidP="00B63D97">
      <w:pPr>
        <w:pStyle w:val="ListParagraph"/>
        <w:numPr>
          <w:ilvl w:val="0"/>
          <w:numId w:val="2"/>
        </w:numPr>
        <w:ind w:left="720"/>
      </w:pPr>
      <w:r w:rsidRPr="005A12C6">
        <w:t>Check the table of contents carefully to ensure all pages are correctly identified.</w:t>
      </w:r>
    </w:p>
    <w:p w14:paraId="54685590" w14:textId="77777777" w:rsidR="00B63D97" w:rsidRDefault="00B63D97" w:rsidP="00B63D97">
      <w:pPr>
        <w:pStyle w:val="ListParagraph"/>
        <w:numPr>
          <w:ilvl w:val="0"/>
          <w:numId w:val="2"/>
        </w:numPr>
        <w:ind w:left="720"/>
      </w:pPr>
      <w:r>
        <w:t>Complete the cross-reference table and make sure the referenced sections agree with the information location in your plan.</w:t>
      </w:r>
    </w:p>
    <w:p w14:paraId="41A7646E" w14:textId="77777777" w:rsidR="00B63D97" w:rsidRDefault="00B63D97" w:rsidP="00B63D97">
      <w:pPr>
        <w:pStyle w:val="ListParagraph"/>
        <w:numPr>
          <w:ilvl w:val="0"/>
          <w:numId w:val="2"/>
        </w:numPr>
        <w:ind w:left="720"/>
      </w:pPr>
      <w:r>
        <w:t>Insert page breaks so that when printed you can organize the plan in a binder, separated into tabbed sections.  This will also make page replacement easier when the plan is updated.</w:t>
      </w:r>
    </w:p>
    <w:p w14:paraId="4DC4B81C" w14:textId="77777777" w:rsidR="00B63D97" w:rsidRPr="005A12C6" w:rsidRDefault="00B63D97" w:rsidP="00B63D97">
      <w:pPr>
        <w:pStyle w:val="ListParagraph"/>
        <w:numPr>
          <w:ilvl w:val="0"/>
          <w:numId w:val="2"/>
        </w:numPr>
        <w:ind w:left="720"/>
      </w:pPr>
      <w:r>
        <w:t>Send us a hard copy</w:t>
      </w:r>
      <w:r w:rsidRPr="005A12C6">
        <w:t xml:space="preserve"> and an electronic version. The electronic version can be sent via email</w:t>
      </w:r>
      <w:r>
        <w:t xml:space="preserve"> to your company’s Oil Spill Preparedness Planner at Ecology</w:t>
      </w:r>
      <w:r w:rsidRPr="005A12C6">
        <w:t>.  Send</w:t>
      </w:r>
      <w:r>
        <w:t xml:space="preserve"> the hard copy</w:t>
      </w:r>
      <w:r w:rsidRPr="005A12C6">
        <w:t xml:space="preserve"> to: </w:t>
      </w:r>
    </w:p>
    <w:p w14:paraId="0ED7F672" w14:textId="77777777" w:rsidR="00B63D97" w:rsidRPr="005A12C6" w:rsidRDefault="00B63D97" w:rsidP="00B63D97">
      <w:pPr>
        <w:spacing w:after="0" w:line="240" w:lineRule="auto"/>
        <w:ind w:left="720"/>
      </w:pPr>
      <w:r w:rsidRPr="005A12C6">
        <w:t>Ecology Spill Prevention, Preparedness &amp; Response</w:t>
      </w:r>
    </w:p>
    <w:p w14:paraId="0E1638F3" w14:textId="77777777" w:rsidR="00B63D97" w:rsidRPr="005A12C6" w:rsidRDefault="00B63D97" w:rsidP="00B63D97">
      <w:pPr>
        <w:spacing w:after="0" w:line="240" w:lineRule="auto"/>
        <w:ind w:left="720"/>
      </w:pPr>
      <w:r w:rsidRPr="005A12C6">
        <w:t>PO Box 47600</w:t>
      </w:r>
    </w:p>
    <w:p w14:paraId="05938B56" w14:textId="77777777" w:rsidR="00B63D97" w:rsidRPr="005A12C6" w:rsidRDefault="00B63D97" w:rsidP="00B63D97">
      <w:pPr>
        <w:spacing w:after="0" w:line="240" w:lineRule="auto"/>
        <w:ind w:left="720"/>
      </w:pPr>
      <w:r w:rsidRPr="005A12C6">
        <w:t>Olympia, WA 98504-7600</w:t>
      </w:r>
    </w:p>
    <w:p w14:paraId="0855198B" w14:textId="77777777" w:rsidR="00B63D97" w:rsidRPr="005A12C6" w:rsidRDefault="00B63D97" w:rsidP="00B63D97">
      <w:pPr>
        <w:jc w:val="center"/>
        <w:rPr>
          <w:rFonts w:eastAsiaTheme="majorEastAsia" w:cstheme="majorBidi"/>
          <w:color w:val="2E74B5" w:themeColor="accent1" w:themeShade="BF"/>
          <w:szCs w:val="24"/>
        </w:rPr>
      </w:pPr>
    </w:p>
    <w:p w14:paraId="43C19EEC" w14:textId="77777777" w:rsidR="00B63D97" w:rsidRDefault="00B63D97" w:rsidP="00B63D97"/>
    <w:p w14:paraId="75FA8AC3" w14:textId="77777777" w:rsidR="00B63D97" w:rsidRDefault="00B63D97" w:rsidP="00B63D97"/>
    <w:p w14:paraId="5F97CC2F" w14:textId="46F64163" w:rsidR="0019323B" w:rsidRDefault="00B63D97" w:rsidP="006F668C">
      <w:pPr>
        <w:jc w:val="center"/>
      </w:pPr>
      <w:r w:rsidRPr="004430D7">
        <w:rPr>
          <w:b/>
        </w:rPr>
        <w:t>Th</w:t>
      </w:r>
      <w:r w:rsidRPr="004430D7">
        <w:rPr>
          <w:rFonts w:eastAsiaTheme="majorEastAsia" w:cstheme="majorBidi"/>
          <w:b/>
          <w:szCs w:val="24"/>
        </w:rPr>
        <w:t>is ends the</w:t>
      </w:r>
      <w:r w:rsidRPr="005A12C6">
        <w:rPr>
          <w:rFonts w:eastAsiaTheme="majorEastAsia" w:cstheme="majorBidi"/>
          <w:b/>
          <w:szCs w:val="24"/>
        </w:rPr>
        <w:t xml:space="preserve"> instruction pages.  The next page is the start of the </w:t>
      </w:r>
      <w:r>
        <w:rPr>
          <w:rFonts w:eastAsiaTheme="majorEastAsia" w:cstheme="majorBidi"/>
          <w:b/>
          <w:szCs w:val="24"/>
        </w:rPr>
        <w:t>sample</w:t>
      </w:r>
      <w:r w:rsidR="006F668C">
        <w:rPr>
          <w:rFonts w:eastAsiaTheme="majorEastAsia" w:cstheme="majorBidi"/>
          <w:b/>
          <w:szCs w:val="24"/>
        </w:rPr>
        <w:t xml:space="preserve"> plan. </w:t>
      </w:r>
      <w:r w:rsidR="0019323B">
        <w:br w:type="page"/>
      </w:r>
    </w:p>
    <w:p w14:paraId="5D81081B" w14:textId="3217FE2D" w:rsidR="0019323B" w:rsidRDefault="0019323B" w:rsidP="005C688D">
      <w:pPr>
        <w:pStyle w:val="Heading1"/>
      </w:pPr>
      <w:bookmarkStart w:id="9" w:name="_Toc66094465"/>
      <w:bookmarkStart w:id="10" w:name="_Toc66094490"/>
      <w:r w:rsidRPr="005C688D">
        <w:rPr>
          <w:rStyle w:val="Heading1Char"/>
        </w:rPr>
        <w:lastRenderedPageBreak/>
        <w:t xml:space="preserve">Spills of Oil that, </w:t>
      </w:r>
      <w:r w:rsidR="00DE24F3">
        <w:rPr>
          <w:rStyle w:val="Heading1Char"/>
        </w:rPr>
        <w:t>D</w:t>
      </w:r>
      <w:r w:rsidRPr="005C688D">
        <w:rPr>
          <w:rStyle w:val="Heading1Char"/>
        </w:rPr>
        <w:t>epending on the Chemical Properties, Environmental Factors (Weathering), and</w:t>
      </w:r>
      <w:r>
        <w:t xml:space="preserve"> Methods of Discharge, may Submerge or Sink (WAC 173-182- 324)</w:t>
      </w:r>
      <w:bookmarkEnd w:id="9"/>
      <w:bookmarkEnd w:id="10"/>
      <w:r w:rsidR="005C688D">
        <w:t xml:space="preserve"> </w:t>
      </w:r>
    </w:p>
    <w:p w14:paraId="18C8BC1B" w14:textId="6EA07E73" w:rsidR="0019323B" w:rsidRDefault="00047839" w:rsidP="0019323B">
      <w:r w:rsidRPr="005263D8">
        <w:rPr>
          <w:highlight w:val="yellow"/>
        </w:rPr>
        <w:t xml:space="preserve">Company </w:t>
      </w:r>
      <w:r w:rsidR="00DE24F3">
        <w:rPr>
          <w:highlight w:val="yellow"/>
        </w:rPr>
        <w:t xml:space="preserve">Name </w:t>
      </w:r>
      <w:r w:rsidR="00DE24F3" w:rsidRPr="006F668C">
        <w:t>handles several products</w:t>
      </w:r>
      <w:r w:rsidR="0057783D">
        <w:t xml:space="preserve">, which, based on </w:t>
      </w:r>
      <w:r w:rsidR="00DE24F3">
        <w:t xml:space="preserve">their physical and chemical </w:t>
      </w:r>
      <w:r w:rsidR="00AF6812">
        <w:t>properties</w:t>
      </w:r>
      <w:r w:rsidR="00DE24F3">
        <w:t>,</w:t>
      </w:r>
      <w:r w:rsidR="0057783D">
        <w:t xml:space="preserve"> and</w:t>
      </w:r>
      <w:r w:rsidR="00CA5AE1">
        <w:t>/or</w:t>
      </w:r>
      <w:r w:rsidR="0057783D">
        <w:t xml:space="preserve"> the </w:t>
      </w:r>
      <w:r w:rsidR="00AF6812">
        <w:t>properties</w:t>
      </w:r>
      <w:r w:rsidR="0057783D">
        <w:t xml:space="preserve"> of the water</w:t>
      </w:r>
      <w:r w:rsidR="00AF6812">
        <w:t xml:space="preserve"> bodies they may </w:t>
      </w:r>
      <w:r w:rsidR="0057783D">
        <w:t>spil</w:t>
      </w:r>
      <w:r w:rsidR="00AF6812">
        <w:t>l</w:t>
      </w:r>
      <w:r w:rsidR="0057783D">
        <w:t xml:space="preserve"> into, </w:t>
      </w:r>
      <w:r w:rsidR="00AF6812">
        <w:t>have the potential to</w:t>
      </w:r>
      <w:r w:rsidR="0057783D">
        <w:t xml:space="preserve"> sink or submerge. Refer to Table 1 for </w:t>
      </w:r>
      <w:r w:rsidR="0057783D" w:rsidRPr="005263D8">
        <w:rPr>
          <w:highlight w:val="yellow"/>
        </w:rPr>
        <w:t xml:space="preserve">Company </w:t>
      </w:r>
      <w:r w:rsidR="005E4BA0">
        <w:rPr>
          <w:highlight w:val="yellow"/>
        </w:rPr>
        <w:t>Name</w:t>
      </w:r>
      <w:r w:rsidR="005E4BA0">
        <w:t>’</w:t>
      </w:r>
      <w:r w:rsidR="0057783D" w:rsidRPr="006F668C">
        <w:t>s</w:t>
      </w:r>
      <w:r w:rsidR="0057783D">
        <w:t xml:space="preserve"> complete product list</w:t>
      </w:r>
      <w:r w:rsidR="00AF6812">
        <w:t xml:space="preserve"> with potential non-floating oils identified. </w:t>
      </w:r>
      <w:r w:rsidR="0057783D">
        <w:t xml:space="preserve"> </w:t>
      </w:r>
    </w:p>
    <w:p w14:paraId="67E523A2" w14:textId="42A59D51" w:rsidR="00B4464C" w:rsidRPr="00B4464C" w:rsidRDefault="00B4464C" w:rsidP="00B4464C">
      <w:pPr>
        <w:pStyle w:val="Heading2"/>
      </w:pPr>
      <w:bookmarkStart w:id="11" w:name="_Toc66094466"/>
      <w:bookmarkStart w:id="12" w:name="_Toc66094491"/>
      <w:r>
        <w:t>Table 1</w:t>
      </w:r>
      <w:r w:rsidR="00640813">
        <w:t>: Product List</w:t>
      </w:r>
      <w:bookmarkEnd w:id="11"/>
      <w:bookmarkEnd w:id="12"/>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445"/>
        <w:gridCol w:w="1705"/>
        <w:gridCol w:w="1402"/>
        <w:gridCol w:w="1478"/>
        <w:gridCol w:w="1635"/>
      </w:tblGrid>
      <w:tr w:rsidR="0057783D" w:rsidRPr="0057783D" w14:paraId="37ED31A1" w14:textId="77777777" w:rsidTr="00640813">
        <w:trPr>
          <w:trHeight w:val="563"/>
        </w:trPr>
        <w:tc>
          <w:tcPr>
            <w:tcW w:w="1685" w:type="dxa"/>
            <w:shd w:val="clear" w:color="auto" w:fill="DADADA"/>
          </w:tcPr>
          <w:p w14:paraId="5C94F729" w14:textId="77777777" w:rsidR="0057783D" w:rsidRPr="0057783D" w:rsidRDefault="0057783D" w:rsidP="00327D3A">
            <w:pPr>
              <w:pStyle w:val="TableParagraph"/>
              <w:spacing w:before="28"/>
              <w:ind w:left="484" w:right="339" w:hanging="117"/>
              <w:jc w:val="center"/>
              <w:rPr>
                <w:rFonts w:asciiTheme="minorHAnsi" w:hAnsiTheme="minorHAnsi" w:cstheme="minorHAnsi"/>
                <w:b/>
              </w:rPr>
            </w:pPr>
            <w:r w:rsidRPr="0057783D">
              <w:rPr>
                <w:rFonts w:asciiTheme="minorHAnsi" w:hAnsiTheme="minorHAnsi" w:cstheme="minorHAnsi"/>
                <w:b/>
              </w:rPr>
              <w:t>Product Name</w:t>
            </w:r>
          </w:p>
        </w:tc>
        <w:tc>
          <w:tcPr>
            <w:tcW w:w="1445" w:type="dxa"/>
            <w:shd w:val="clear" w:color="auto" w:fill="DADADA"/>
          </w:tcPr>
          <w:p w14:paraId="59DABCA8" w14:textId="77777777" w:rsidR="0057783D" w:rsidRPr="0057783D" w:rsidRDefault="0057783D" w:rsidP="00327D3A">
            <w:pPr>
              <w:pStyle w:val="TableParagraph"/>
              <w:spacing w:before="51" w:line="253" w:lineRule="exact"/>
              <w:ind w:left="384"/>
              <w:rPr>
                <w:rFonts w:asciiTheme="minorHAnsi" w:hAnsiTheme="minorHAnsi" w:cstheme="minorHAnsi"/>
                <w:b/>
              </w:rPr>
            </w:pPr>
            <w:r w:rsidRPr="0057783D">
              <w:rPr>
                <w:rFonts w:asciiTheme="minorHAnsi" w:hAnsiTheme="minorHAnsi" w:cstheme="minorHAnsi"/>
                <w:b/>
              </w:rPr>
              <w:t>Density</w:t>
            </w:r>
          </w:p>
          <w:p w14:paraId="37844DED" w14:textId="77777777" w:rsidR="0057783D" w:rsidRPr="0057783D" w:rsidRDefault="0057783D" w:rsidP="00327D3A">
            <w:pPr>
              <w:pStyle w:val="TableParagraph"/>
              <w:spacing w:before="0" w:line="207" w:lineRule="exact"/>
              <w:jc w:val="center"/>
              <w:rPr>
                <w:rFonts w:asciiTheme="minorHAnsi" w:hAnsiTheme="minorHAnsi" w:cstheme="minorHAnsi"/>
                <w:sz w:val="18"/>
              </w:rPr>
            </w:pPr>
            <w:r w:rsidRPr="0057783D">
              <w:rPr>
                <w:rFonts w:asciiTheme="minorHAnsi" w:hAnsiTheme="minorHAnsi" w:cstheme="minorHAnsi"/>
                <w:sz w:val="18"/>
              </w:rPr>
              <w:t>(kg/m3)</w:t>
            </w:r>
          </w:p>
        </w:tc>
        <w:tc>
          <w:tcPr>
            <w:tcW w:w="1705" w:type="dxa"/>
            <w:shd w:val="clear" w:color="auto" w:fill="DADADA"/>
          </w:tcPr>
          <w:p w14:paraId="69AE4F38" w14:textId="77777777" w:rsidR="0057783D" w:rsidRPr="0057783D" w:rsidRDefault="0057783D" w:rsidP="00327D3A">
            <w:pPr>
              <w:pStyle w:val="TableParagraph"/>
              <w:spacing w:before="28"/>
              <w:ind w:left="403" w:right="331" w:hanging="42"/>
              <w:jc w:val="center"/>
              <w:rPr>
                <w:rFonts w:asciiTheme="minorHAnsi" w:hAnsiTheme="minorHAnsi" w:cstheme="minorHAnsi"/>
                <w:b/>
              </w:rPr>
            </w:pPr>
            <w:r w:rsidRPr="0057783D">
              <w:rPr>
                <w:rFonts w:asciiTheme="minorHAnsi" w:hAnsiTheme="minorHAnsi" w:cstheme="minorHAnsi"/>
                <w:b/>
              </w:rPr>
              <w:t>Specific Gravity</w:t>
            </w:r>
          </w:p>
        </w:tc>
        <w:tc>
          <w:tcPr>
            <w:tcW w:w="1402" w:type="dxa"/>
            <w:shd w:val="clear" w:color="auto" w:fill="DADADA"/>
          </w:tcPr>
          <w:p w14:paraId="5F21F42E" w14:textId="77777777" w:rsidR="0057783D" w:rsidRPr="0057783D" w:rsidRDefault="0057783D" w:rsidP="00327D3A">
            <w:pPr>
              <w:pStyle w:val="TableParagraph"/>
              <w:spacing w:before="154"/>
              <w:ind w:left="197" w:right="190"/>
              <w:jc w:val="center"/>
              <w:rPr>
                <w:rFonts w:asciiTheme="minorHAnsi" w:hAnsiTheme="minorHAnsi" w:cstheme="minorHAnsi"/>
                <w:b/>
              </w:rPr>
            </w:pPr>
            <w:r w:rsidRPr="0057783D">
              <w:rPr>
                <w:rFonts w:asciiTheme="minorHAnsi" w:hAnsiTheme="minorHAnsi" w:cstheme="minorHAnsi"/>
                <w:b/>
              </w:rPr>
              <w:t>API</w:t>
            </w:r>
          </w:p>
        </w:tc>
        <w:tc>
          <w:tcPr>
            <w:tcW w:w="1478" w:type="dxa"/>
            <w:shd w:val="clear" w:color="auto" w:fill="DADADA"/>
          </w:tcPr>
          <w:p w14:paraId="34A16493" w14:textId="77777777" w:rsidR="0057783D" w:rsidRPr="0057783D" w:rsidRDefault="0057783D" w:rsidP="00327D3A">
            <w:pPr>
              <w:pStyle w:val="TableParagraph"/>
              <w:spacing w:before="154"/>
              <w:ind w:left="337" w:right="329"/>
              <w:jc w:val="center"/>
              <w:rPr>
                <w:rFonts w:asciiTheme="minorHAnsi" w:hAnsiTheme="minorHAnsi" w:cstheme="minorHAnsi"/>
                <w:b/>
              </w:rPr>
            </w:pPr>
            <w:r w:rsidRPr="0057783D">
              <w:rPr>
                <w:rFonts w:asciiTheme="minorHAnsi" w:hAnsiTheme="minorHAnsi" w:cstheme="minorHAnsi"/>
                <w:b/>
              </w:rPr>
              <w:t>Group #</w:t>
            </w:r>
          </w:p>
        </w:tc>
        <w:tc>
          <w:tcPr>
            <w:tcW w:w="1635" w:type="dxa"/>
            <w:shd w:val="clear" w:color="auto" w:fill="DADADA"/>
          </w:tcPr>
          <w:p w14:paraId="2E9C2967" w14:textId="77777777" w:rsidR="0057783D" w:rsidRPr="0057783D" w:rsidRDefault="0057783D" w:rsidP="00327D3A">
            <w:pPr>
              <w:pStyle w:val="TableParagraph"/>
              <w:spacing w:before="154"/>
              <w:ind w:right="140"/>
              <w:jc w:val="center"/>
              <w:rPr>
                <w:rFonts w:asciiTheme="minorHAnsi" w:hAnsiTheme="minorHAnsi" w:cstheme="minorHAnsi"/>
                <w:b/>
              </w:rPr>
            </w:pPr>
            <w:r w:rsidRPr="0057783D">
              <w:rPr>
                <w:rFonts w:asciiTheme="minorHAnsi" w:hAnsiTheme="minorHAnsi" w:cstheme="minorHAnsi"/>
                <w:b/>
              </w:rPr>
              <w:t>Sulfur</w:t>
            </w:r>
          </w:p>
        </w:tc>
      </w:tr>
      <w:tr w:rsidR="0057783D" w:rsidRPr="0057783D" w14:paraId="02C95ABB" w14:textId="77777777" w:rsidTr="00640813">
        <w:trPr>
          <w:trHeight w:val="417"/>
        </w:trPr>
        <w:tc>
          <w:tcPr>
            <w:tcW w:w="1685" w:type="dxa"/>
          </w:tcPr>
          <w:p w14:paraId="2195C5D5" w14:textId="77777777" w:rsidR="0057783D" w:rsidRDefault="0057783D" w:rsidP="00327D3A">
            <w:pPr>
              <w:pStyle w:val="TableParagraph"/>
              <w:ind w:left="255" w:right="247"/>
              <w:jc w:val="center"/>
              <w:rPr>
                <w:rFonts w:asciiTheme="minorHAnsi" w:hAnsiTheme="minorHAnsi" w:cstheme="minorHAnsi"/>
              </w:rPr>
            </w:pPr>
            <w:r w:rsidRPr="0057783D">
              <w:rPr>
                <w:rFonts w:asciiTheme="minorHAnsi" w:hAnsiTheme="minorHAnsi" w:cstheme="minorHAnsi"/>
              </w:rPr>
              <w:t>Gasoline</w:t>
            </w:r>
          </w:p>
          <w:p w14:paraId="09D335C7" w14:textId="77777777" w:rsidR="00327D3A" w:rsidRPr="0057783D" w:rsidRDefault="00327D3A" w:rsidP="00327D3A">
            <w:pPr>
              <w:pStyle w:val="TableParagraph"/>
              <w:ind w:left="255" w:right="247"/>
              <w:jc w:val="center"/>
              <w:rPr>
                <w:rFonts w:asciiTheme="minorHAnsi" w:hAnsiTheme="minorHAnsi" w:cstheme="minorHAnsi"/>
              </w:rPr>
            </w:pPr>
          </w:p>
        </w:tc>
        <w:tc>
          <w:tcPr>
            <w:tcW w:w="1445" w:type="dxa"/>
          </w:tcPr>
          <w:p w14:paraId="06C2CC04" w14:textId="77777777" w:rsidR="0057783D" w:rsidRPr="0057783D" w:rsidRDefault="0057783D" w:rsidP="00327D3A">
            <w:pPr>
              <w:pStyle w:val="TableParagraph"/>
              <w:ind w:left="210" w:right="200"/>
              <w:jc w:val="center"/>
              <w:rPr>
                <w:rFonts w:asciiTheme="minorHAnsi" w:hAnsiTheme="minorHAnsi" w:cstheme="minorHAnsi"/>
              </w:rPr>
            </w:pPr>
            <w:r w:rsidRPr="0057783D">
              <w:rPr>
                <w:rFonts w:asciiTheme="minorHAnsi" w:hAnsiTheme="minorHAnsi" w:cstheme="minorHAnsi"/>
              </w:rPr>
              <w:t>700 – 800</w:t>
            </w:r>
          </w:p>
        </w:tc>
        <w:tc>
          <w:tcPr>
            <w:tcW w:w="1705" w:type="dxa"/>
          </w:tcPr>
          <w:p w14:paraId="7A197C2F" w14:textId="77777777" w:rsidR="0057783D" w:rsidRPr="0057783D" w:rsidRDefault="0057783D" w:rsidP="00327D3A">
            <w:pPr>
              <w:pStyle w:val="TableParagraph"/>
              <w:ind w:left="210" w:right="201"/>
              <w:jc w:val="center"/>
              <w:rPr>
                <w:rFonts w:asciiTheme="minorHAnsi" w:hAnsiTheme="minorHAnsi" w:cstheme="minorHAnsi"/>
              </w:rPr>
            </w:pPr>
            <w:r w:rsidRPr="0057783D">
              <w:rPr>
                <w:rFonts w:asciiTheme="minorHAnsi" w:hAnsiTheme="minorHAnsi" w:cstheme="minorHAnsi"/>
              </w:rPr>
              <w:t>0.7 – 0.8</w:t>
            </w:r>
          </w:p>
        </w:tc>
        <w:tc>
          <w:tcPr>
            <w:tcW w:w="1402" w:type="dxa"/>
          </w:tcPr>
          <w:p w14:paraId="3EBE02E5" w14:textId="77777777" w:rsidR="0057783D" w:rsidRPr="0057783D" w:rsidRDefault="0057783D" w:rsidP="00327D3A">
            <w:pPr>
              <w:pStyle w:val="TableParagraph"/>
              <w:ind w:left="200" w:right="190"/>
              <w:jc w:val="center"/>
              <w:rPr>
                <w:rFonts w:asciiTheme="minorHAnsi" w:hAnsiTheme="minorHAnsi" w:cstheme="minorHAnsi"/>
              </w:rPr>
            </w:pPr>
            <w:r w:rsidRPr="0057783D">
              <w:rPr>
                <w:rFonts w:asciiTheme="minorHAnsi" w:hAnsiTheme="minorHAnsi" w:cstheme="minorHAnsi"/>
              </w:rPr>
              <w:t>70.6 – 45.4</w:t>
            </w:r>
          </w:p>
        </w:tc>
        <w:tc>
          <w:tcPr>
            <w:tcW w:w="1478" w:type="dxa"/>
          </w:tcPr>
          <w:p w14:paraId="1A81F3B8" w14:textId="77777777" w:rsidR="0057783D" w:rsidRPr="0057783D" w:rsidRDefault="0057783D" w:rsidP="00327D3A">
            <w:pPr>
              <w:pStyle w:val="TableParagraph"/>
              <w:ind w:left="9"/>
              <w:jc w:val="center"/>
              <w:rPr>
                <w:rFonts w:asciiTheme="minorHAnsi" w:hAnsiTheme="minorHAnsi" w:cstheme="minorHAnsi"/>
              </w:rPr>
            </w:pPr>
            <w:r w:rsidRPr="0057783D">
              <w:rPr>
                <w:rFonts w:asciiTheme="minorHAnsi" w:hAnsiTheme="minorHAnsi" w:cstheme="minorHAnsi"/>
                <w:w w:val="99"/>
              </w:rPr>
              <w:t>I</w:t>
            </w:r>
          </w:p>
        </w:tc>
        <w:tc>
          <w:tcPr>
            <w:tcW w:w="1635" w:type="dxa"/>
          </w:tcPr>
          <w:p w14:paraId="066F9C3C" w14:textId="77777777" w:rsidR="0057783D" w:rsidRPr="0057783D" w:rsidRDefault="0057783D" w:rsidP="00327D3A">
            <w:pPr>
              <w:pStyle w:val="TableParagraph"/>
              <w:ind w:right="141"/>
              <w:jc w:val="center"/>
              <w:rPr>
                <w:rFonts w:asciiTheme="minorHAnsi" w:hAnsiTheme="minorHAnsi" w:cstheme="minorHAnsi"/>
              </w:rPr>
            </w:pPr>
            <w:r w:rsidRPr="0057783D">
              <w:rPr>
                <w:rFonts w:asciiTheme="minorHAnsi" w:hAnsiTheme="minorHAnsi" w:cstheme="minorHAnsi"/>
              </w:rPr>
              <w:t>avg. 10 ppm</w:t>
            </w:r>
          </w:p>
        </w:tc>
      </w:tr>
      <w:tr w:rsidR="0057783D" w:rsidRPr="0057783D" w14:paraId="7FAB668D" w14:textId="77777777" w:rsidTr="00E54DB7">
        <w:trPr>
          <w:trHeight w:val="288"/>
        </w:trPr>
        <w:tc>
          <w:tcPr>
            <w:tcW w:w="9350" w:type="dxa"/>
            <w:gridSpan w:val="6"/>
          </w:tcPr>
          <w:p w14:paraId="01AA5C81" w14:textId="77777777" w:rsidR="0057783D" w:rsidRPr="0057783D" w:rsidRDefault="0057783D" w:rsidP="00327D3A">
            <w:pPr>
              <w:pStyle w:val="TableParagraph"/>
              <w:spacing w:before="30"/>
              <w:ind w:left="170"/>
              <w:rPr>
                <w:rFonts w:asciiTheme="minorHAnsi" w:hAnsiTheme="minorHAnsi" w:cstheme="minorHAnsi"/>
                <w:i/>
                <w:sz w:val="20"/>
              </w:rPr>
            </w:pPr>
            <w:r w:rsidRPr="0057783D">
              <w:rPr>
                <w:rFonts w:asciiTheme="minorHAnsi" w:hAnsiTheme="minorHAnsi" w:cstheme="minorHAnsi"/>
                <w:i/>
                <w:sz w:val="20"/>
              </w:rPr>
              <w:t>(synonyms: RUL, subgrade, unlead)</w:t>
            </w:r>
          </w:p>
        </w:tc>
      </w:tr>
      <w:tr w:rsidR="0057783D" w:rsidRPr="0057783D" w14:paraId="194424BE" w14:textId="77777777" w:rsidTr="00640813">
        <w:trPr>
          <w:trHeight w:val="417"/>
        </w:trPr>
        <w:tc>
          <w:tcPr>
            <w:tcW w:w="1685" w:type="dxa"/>
          </w:tcPr>
          <w:p w14:paraId="6D8A2E11" w14:textId="77777777" w:rsidR="0057783D" w:rsidRPr="0057783D" w:rsidRDefault="0057783D" w:rsidP="00327D3A">
            <w:pPr>
              <w:pStyle w:val="TableParagraph"/>
              <w:ind w:left="255" w:right="246"/>
              <w:jc w:val="center"/>
              <w:rPr>
                <w:rFonts w:asciiTheme="minorHAnsi" w:hAnsiTheme="minorHAnsi" w:cstheme="minorHAnsi"/>
              </w:rPr>
            </w:pPr>
            <w:r w:rsidRPr="0057783D">
              <w:rPr>
                <w:rFonts w:asciiTheme="minorHAnsi" w:hAnsiTheme="minorHAnsi" w:cstheme="minorHAnsi"/>
              </w:rPr>
              <w:t>Jet Fuel</w:t>
            </w:r>
          </w:p>
        </w:tc>
        <w:tc>
          <w:tcPr>
            <w:tcW w:w="1445" w:type="dxa"/>
          </w:tcPr>
          <w:p w14:paraId="69164320" w14:textId="77777777" w:rsidR="0057783D" w:rsidRPr="0057783D" w:rsidRDefault="0057783D" w:rsidP="00327D3A">
            <w:pPr>
              <w:pStyle w:val="TableParagraph"/>
              <w:ind w:left="210" w:right="200"/>
              <w:jc w:val="center"/>
              <w:rPr>
                <w:rFonts w:asciiTheme="minorHAnsi" w:hAnsiTheme="minorHAnsi" w:cstheme="minorHAnsi"/>
              </w:rPr>
            </w:pPr>
            <w:r w:rsidRPr="0057783D">
              <w:rPr>
                <w:rFonts w:asciiTheme="minorHAnsi" w:hAnsiTheme="minorHAnsi" w:cstheme="minorHAnsi"/>
              </w:rPr>
              <w:t>775 – 840</w:t>
            </w:r>
          </w:p>
        </w:tc>
        <w:tc>
          <w:tcPr>
            <w:tcW w:w="1705" w:type="dxa"/>
          </w:tcPr>
          <w:p w14:paraId="161A13B2" w14:textId="77777777" w:rsidR="0057783D" w:rsidRPr="0057783D" w:rsidRDefault="0057783D" w:rsidP="00327D3A">
            <w:pPr>
              <w:pStyle w:val="TableParagraph"/>
              <w:ind w:left="213" w:right="201"/>
              <w:jc w:val="center"/>
              <w:rPr>
                <w:rFonts w:asciiTheme="minorHAnsi" w:hAnsiTheme="minorHAnsi" w:cstheme="minorHAnsi"/>
              </w:rPr>
            </w:pPr>
            <w:r w:rsidRPr="0057783D">
              <w:rPr>
                <w:rFonts w:asciiTheme="minorHAnsi" w:hAnsiTheme="minorHAnsi" w:cstheme="minorHAnsi"/>
              </w:rPr>
              <w:t>0.77 – 0.84</w:t>
            </w:r>
          </w:p>
        </w:tc>
        <w:tc>
          <w:tcPr>
            <w:tcW w:w="1402" w:type="dxa"/>
          </w:tcPr>
          <w:p w14:paraId="01724AD1" w14:textId="77777777" w:rsidR="0057783D" w:rsidRPr="0057783D" w:rsidRDefault="0057783D" w:rsidP="00327D3A">
            <w:pPr>
              <w:pStyle w:val="TableParagraph"/>
              <w:ind w:left="200" w:right="190"/>
              <w:jc w:val="center"/>
              <w:rPr>
                <w:rFonts w:asciiTheme="minorHAnsi" w:hAnsiTheme="minorHAnsi" w:cstheme="minorHAnsi"/>
              </w:rPr>
            </w:pPr>
            <w:r w:rsidRPr="0057783D">
              <w:rPr>
                <w:rFonts w:asciiTheme="minorHAnsi" w:hAnsiTheme="minorHAnsi" w:cstheme="minorHAnsi"/>
              </w:rPr>
              <w:t>52.3 – 36.9</w:t>
            </w:r>
          </w:p>
        </w:tc>
        <w:tc>
          <w:tcPr>
            <w:tcW w:w="1478" w:type="dxa"/>
          </w:tcPr>
          <w:p w14:paraId="18ACDB6A" w14:textId="77777777" w:rsidR="0057783D" w:rsidRPr="0057783D" w:rsidRDefault="0057783D" w:rsidP="00327D3A">
            <w:pPr>
              <w:pStyle w:val="TableParagraph"/>
              <w:ind w:left="9"/>
              <w:jc w:val="center"/>
              <w:rPr>
                <w:rFonts w:asciiTheme="minorHAnsi" w:hAnsiTheme="minorHAnsi" w:cstheme="minorHAnsi"/>
              </w:rPr>
            </w:pPr>
            <w:r w:rsidRPr="0057783D">
              <w:rPr>
                <w:rFonts w:asciiTheme="minorHAnsi" w:hAnsiTheme="minorHAnsi" w:cstheme="minorHAnsi"/>
                <w:w w:val="99"/>
              </w:rPr>
              <w:t>I</w:t>
            </w:r>
          </w:p>
        </w:tc>
        <w:tc>
          <w:tcPr>
            <w:tcW w:w="1635" w:type="dxa"/>
          </w:tcPr>
          <w:p w14:paraId="3A6A40C9" w14:textId="77777777" w:rsidR="0057783D" w:rsidRPr="0057783D" w:rsidRDefault="0057783D" w:rsidP="00327D3A">
            <w:pPr>
              <w:pStyle w:val="TableParagraph"/>
              <w:ind w:right="139"/>
              <w:jc w:val="center"/>
              <w:rPr>
                <w:rFonts w:asciiTheme="minorHAnsi" w:hAnsiTheme="minorHAnsi" w:cstheme="minorHAnsi"/>
              </w:rPr>
            </w:pPr>
            <w:r w:rsidRPr="0057783D">
              <w:rPr>
                <w:rFonts w:asciiTheme="minorHAnsi" w:hAnsiTheme="minorHAnsi" w:cstheme="minorHAnsi"/>
              </w:rPr>
              <w:t>Not avail.</w:t>
            </w:r>
          </w:p>
        </w:tc>
      </w:tr>
      <w:tr w:rsidR="0057783D" w:rsidRPr="0057783D" w14:paraId="19AAFDE7" w14:textId="77777777" w:rsidTr="00E54DB7">
        <w:trPr>
          <w:trHeight w:val="288"/>
        </w:trPr>
        <w:tc>
          <w:tcPr>
            <w:tcW w:w="9350" w:type="dxa"/>
            <w:gridSpan w:val="6"/>
          </w:tcPr>
          <w:p w14:paraId="6642545A" w14:textId="77777777" w:rsidR="0057783D" w:rsidRPr="0057783D" w:rsidRDefault="0057783D" w:rsidP="00327D3A">
            <w:pPr>
              <w:pStyle w:val="TableParagraph"/>
              <w:spacing w:before="30"/>
              <w:ind w:left="170"/>
              <w:rPr>
                <w:rFonts w:asciiTheme="minorHAnsi" w:hAnsiTheme="minorHAnsi" w:cstheme="minorHAnsi"/>
                <w:i/>
                <w:sz w:val="20"/>
              </w:rPr>
            </w:pPr>
            <w:r w:rsidRPr="0057783D">
              <w:rPr>
                <w:rFonts w:asciiTheme="minorHAnsi" w:hAnsiTheme="minorHAnsi" w:cstheme="minorHAnsi"/>
                <w:i/>
                <w:sz w:val="20"/>
              </w:rPr>
              <w:t>(synonyms: JetA1, avgas)</w:t>
            </w:r>
          </w:p>
        </w:tc>
      </w:tr>
      <w:tr w:rsidR="0057783D" w:rsidRPr="0057783D" w14:paraId="37147F1C" w14:textId="77777777" w:rsidTr="00640813">
        <w:trPr>
          <w:trHeight w:val="417"/>
        </w:trPr>
        <w:tc>
          <w:tcPr>
            <w:tcW w:w="1685" w:type="dxa"/>
          </w:tcPr>
          <w:p w14:paraId="4FDB4E66" w14:textId="77777777" w:rsidR="0057783D" w:rsidRPr="0057783D" w:rsidRDefault="0057783D" w:rsidP="00327D3A">
            <w:pPr>
              <w:pStyle w:val="TableParagraph"/>
              <w:ind w:left="255" w:right="245"/>
              <w:jc w:val="center"/>
              <w:rPr>
                <w:rFonts w:asciiTheme="minorHAnsi" w:hAnsiTheme="minorHAnsi" w:cstheme="minorHAnsi"/>
              </w:rPr>
            </w:pPr>
            <w:r w:rsidRPr="0057783D">
              <w:rPr>
                <w:rFonts w:asciiTheme="minorHAnsi" w:hAnsiTheme="minorHAnsi" w:cstheme="minorHAnsi"/>
              </w:rPr>
              <w:t>Diesel</w:t>
            </w:r>
          </w:p>
        </w:tc>
        <w:tc>
          <w:tcPr>
            <w:tcW w:w="1445" w:type="dxa"/>
          </w:tcPr>
          <w:p w14:paraId="2B5B83D6" w14:textId="77777777" w:rsidR="0057783D" w:rsidRPr="0057783D" w:rsidRDefault="0057783D" w:rsidP="00327D3A">
            <w:pPr>
              <w:pStyle w:val="TableParagraph"/>
              <w:ind w:left="210" w:right="200"/>
              <w:jc w:val="center"/>
              <w:rPr>
                <w:rFonts w:asciiTheme="minorHAnsi" w:hAnsiTheme="minorHAnsi" w:cstheme="minorHAnsi"/>
              </w:rPr>
            </w:pPr>
            <w:r w:rsidRPr="0057783D">
              <w:rPr>
                <w:rFonts w:asciiTheme="minorHAnsi" w:hAnsiTheme="minorHAnsi" w:cstheme="minorHAnsi"/>
              </w:rPr>
              <w:t>720 – 880</w:t>
            </w:r>
          </w:p>
        </w:tc>
        <w:tc>
          <w:tcPr>
            <w:tcW w:w="1705" w:type="dxa"/>
          </w:tcPr>
          <w:p w14:paraId="70DD67FB" w14:textId="77777777" w:rsidR="0057783D" w:rsidRPr="0057783D" w:rsidRDefault="0057783D" w:rsidP="00327D3A">
            <w:pPr>
              <w:pStyle w:val="TableParagraph"/>
              <w:ind w:left="212" w:right="201"/>
              <w:jc w:val="center"/>
              <w:rPr>
                <w:rFonts w:asciiTheme="minorHAnsi" w:hAnsiTheme="minorHAnsi" w:cstheme="minorHAnsi"/>
              </w:rPr>
            </w:pPr>
            <w:r w:rsidRPr="0057783D">
              <w:rPr>
                <w:rFonts w:asciiTheme="minorHAnsi" w:hAnsiTheme="minorHAnsi" w:cstheme="minorHAnsi"/>
              </w:rPr>
              <w:t>0.82 – 0.88</w:t>
            </w:r>
          </w:p>
        </w:tc>
        <w:tc>
          <w:tcPr>
            <w:tcW w:w="1402" w:type="dxa"/>
          </w:tcPr>
          <w:p w14:paraId="78EAEDB5" w14:textId="77777777" w:rsidR="0057783D" w:rsidRPr="0057783D" w:rsidRDefault="0057783D" w:rsidP="00327D3A">
            <w:pPr>
              <w:pStyle w:val="TableParagraph"/>
              <w:ind w:left="200" w:right="190"/>
              <w:jc w:val="center"/>
              <w:rPr>
                <w:rFonts w:asciiTheme="minorHAnsi" w:hAnsiTheme="minorHAnsi" w:cstheme="minorHAnsi"/>
              </w:rPr>
            </w:pPr>
            <w:r w:rsidRPr="0057783D">
              <w:rPr>
                <w:rFonts w:asciiTheme="minorHAnsi" w:hAnsiTheme="minorHAnsi" w:cstheme="minorHAnsi"/>
              </w:rPr>
              <w:t>41.1 – 29.3</w:t>
            </w:r>
          </w:p>
        </w:tc>
        <w:tc>
          <w:tcPr>
            <w:tcW w:w="1478" w:type="dxa"/>
          </w:tcPr>
          <w:p w14:paraId="67AE3DC0" w14:textId="77777777" w:rsidR="0057783D" w:rsidRPr="0057783D" w:rsidRDefault="0057783D" w:rsidP="00327D3A">
            <w:pPr>
              <w:pStyle w:val="TableParagraph"/>
              <w:ind w:left="337" w:right="327"/>
              <w:jc w:val="center"/>
              <w:rPr>
                <w:rFonts w:asciiTheme="minorHAnsi" w:hAnsiTheme="minorHAnsi" w:cstheme="minorHAnsi"/>
              </w:rPr>
            </w:pPr>
            <w:r w:rsidRPr="0057783D">
              <w:rPr>
                <w:rFonts w:asciiTheme="minorHAnsi" w:hAnsiTheme="minorHAnsi" w:cstheme="minorHAnsi"/>
              </w:rPr>
              <w:t>II</w:t>
            </w:r>
          </w:p>
        </w:tc>
        <w:tc>
          <w:tcPr>
            <w:tcW w:w="1635" w:type="dxa"/>
          </w:tcPr>
          <w:p w14:paraId="2283D87A" w14:textId="77777777" w:rsidR="0057783D" w:rsidRPr="0057783D" w:rsidRDefault="0057783D" w:rsidP="00327D3A">
            <w:pPr>
              <w:pStyle w:val="TableParagraph"/>
              <w:ind w:right="140"/>
              <w:jc w:val="center"/>
              <w:rPr>
                <w:rFonts w:asciiTheme="minorHAnsi" w:hAnsiTheme="minorHAnsi" w:cstheme="minorHAnsi"/>
              </w:rPr>
            </w:pPr>
            <w:r w:rsidRPr="0057783D">
              <w:rPr>
                <w:rFonts w:asciiTheme="minorHAnsi" w:hAnsiTheme="minorHAnsi" w:cstheme="minorHAnsi"/>
              </w:rPr>
              <w:t>&lt; 15 ppm</w:t>
            </w:r>
          </w:p>
        </w:tc>
      </w:tr>
      <w:tr w:rsidR="0057783D" w:rsidRPr="0057783D" w14:paraId="1B1D898A" w14:textId="77777777" w:rsidTr="00E54DB7">
        <w:trPr>
          <w:trHeight w:val="288"/>
        </w:trPr>
        <w:tc>
          <w:tcPr>
            <w:tcW w:w="9350" w:type="dxa"/>
            <w:gridSpan w:val="6"/>
          </w:tcPr>
          <w:p w14:paraId="285D3741" w14:textId="60CA008D" w:rsidR="0057783D" w:rsidRPr="0057783D" w:rsidRDefault="0057783D" w:rsidP="00CA5AE1">
            <w:pPr>
              <w:pStyle w:val="TableParagraph"/>
              <w:spacing w:before="30"/>
              <w:ind w:left="170"/>
              <w:rPr>
                <w:rFonts w:asciiTheme="minorHAnsi" w:hAnsiTheme="minorHAnsi" w:cstheme="minorHAnsi"/>
                <w:i/>
                <w:sz w:val="20"/>
              </w:rPr>
            </w:pPr>
            <w:r w:rsidRPr="0057783D">
              <w:rPr>
                <w:rFonts w:asciiTheme="minorHAnsi" w:hAnsiTheme="minorHAnsi" w:cstheme="minorHAnsi"/>
                <w:i/>
                <w:sz w:val="20"/>
              </w:rPr>
              <w:t>(synonyms:, LSDF, ULSD)</w:t>
            </w:r>
          </w:p>
        </w:tc>
      </w:tr>
      <w:tr w:rsidR="0057783D" w:rsidRPr="0057783D" w14:paraId="1D487AF2" w14:textId="77777777" w:rsidTr="00640813">
        <w:trPr>
          <w:trHeight w:val="417"/>
        </w:trPr>
        <w:tc>
          <w:tcPr>
            <w:tcW w:w="1685" w:type="dxa"/>
          </w:tcPr>
          <w:p w14:paraId="57322D33" w14:textId="77777777" w:rsidR="0057783D" w:rsidRPr="0057783D" w:rsidRDefault="0057783D" w:rsidP="00327D3A">
            <w:pPr>
              <w:pStyle w:val="TableParagraph"/>
              <w:ind w:left="255" w:right="245"/>
              <w:jc w:val="center"/>
              <w:rPr>
                <w:rFonts w:asciiTheme="minorHAnsi" w:hAnsiTheme="minorHAnsi" w:cstheme="minorHAnsi"/>
              </w:rPr>
            </w:pPr>
            <w:r>
              <w:rPr>
                <w:rFonts w:asciiTheme="minorHAnsi" w:hAnsiTheme="minorHAnsi" w:cstheme="minorHAnsi"/>
              </w:rPr>
              <w:t>Lube Oils</w:t>
            </w:r>
            <w:r w:rsidRPr="00B4464C">
              <w:rPr>
                <w:rFonts w:asciiTheme="minorHAnsi" w:hAnsiTheme="minorHAnsi" w:cstheme="minorHAnsi"/>
                <w:b/>
                <w:color w:val="FF0000"/>
              </w:rPr>
              <w:t>*</w:t>
            </w:r>
          </w:p>
        </w:tc>
        <w:tc>
          <w:tcPr>
            <w:tcW w:w="1445" w:type="dxa"/>
          </w:tcPr>
          <w:p w14:paraId="3AFCF4F7" w14:textId="77777777" w:rsidR="0057783D" w:rsidRPr="0057783D" w:rsidRDefault="0057783D" w:rsidP="00327D3A">
            <w:pPr>
              <w:pStyle w:val="TableParagraph"/>
              <w:ind w:left="210" w:right="200"/>
              <w:jc w:val="center"/>
              <w:rPr>
                <w:rFonts w:asciiTheme="minorHAnsi" w:hAnsiTheme="minorHAnsi" w:cstheme="minorHAnsi"/>
              </w:rPr>
            </w:pPr>
            <w:r w:rsidRPr="0057783D">
              <w:rPr>
                <w:rFonts w:asciiTheme="minorHAnsi" w:hAnsiTheme="minorHAnsi" w:cstheme="minorHAnsi"/>
              </w:rPr>
              <w:t>846</w:t>
            </w:r>
          </w:p>
        </w:tc>
        <w:tc>
          <w:tcPr>
            <w:tcW w:w="1705" w:type="dxa"/>
          </w:tcPr>
          <w:p w14:paraId="154E6FBD" w14:textId="77777777" w:rsidR="0057783D" w:rsidRPr="0057783D" w:rsidRDefault="0057783D" w:rsidP="00327D3A">
            <w:pPr>
              <w:pStyle w:val="TableParagraph"/>
              <w:ind w:left="211" w:right="201"/>
              <w:jc w:val="center"/>
              <w:rPr>
                <w:rFonts w:asciiTheme="minorHAnsi" w:hAnsiTheme="minorHAnsi" w:cstheme="minorHAnsi"/>
              </w:rPr>
            </w:pPr>
            <w:r w:rsidRPr="0057783D">
              <w:rPr>
                <w:rFonts w:asciiTheme="minorHAnsi" w:hAnsiTheme="minorHAnsi" w:cstheme="minorHAnsi"/>
              </w:rPr>
              <w:t>0.85</w:t>
            </w:r>
          </w:p>
        </w:tc>
        <w:tc>
          <w:tcPr>
            <w:tcW w:w="1402" w:type="dxa"/>
          </w:tcPr>
          <w:p w14:paraId="7D216E7D" w14:textId="77777777" w:rsidR="0057783D" w:rsidRPr="0057783D" w:rsidRDefault="0057783D" w:rsidP="00327D3A">
            <w:pPr>
              <w:pStyle w:val="TableParagraph"/>
              <w:ind w:left="198" w:right="190"/>
              <w:jc w:val="center"/>
              <w:rPr>
                <w:rFonts w:asciiTheme="minorHAnsi" w:hAnsiTheme="minorHAnsi" w:cstheme="minorHAnsi"/>
              </w:rPr>
            </w:pPr>
            <w:r w:rsidRPr="0057783D">
              <w:rPr>
                <w:rFonts w:asciiTheme="minorHAnsi" w:hAnsiTheme="minorHAnsi" w:cstheme="minorHAnsi"/>
              </w:rPr>
              <w:t>35</w:t>
            </w:r>
          </w:p>
        </w:tc>
        <w:tc>
          <w:tcPr>
            <w:tcW w:w="1478" w:type="dxa"/>
          </w:tcPr>
          <w:p w14:paraId="0698A088" w14:textId="77777777" w:rsidR="0057783D" w:rsidRPr="0057783D" w:rsidRDefault="0057783D" w:rsidP="00327D3A">
            <w:pPr>
              <w:pStyle w:val="TableParagraph"/>
              <w:ind w:left="337" w:right="328"/>
              <w:jc w:val="center"/>
              <w:rPr>
                <w:rFonts w:asciiTheme="minorHAnsi" w:hAnsiTheme="minorHAnsi" w:cstheme="minorHAnsi"/>
              </w:rPr>
            </w:pPr>
            <w:r w:rsidRPr="0057783D">
              <w:rPr>
                <w:rFonts w:asciiTheme="minorHAnsi" w:hAnsiTheme="minorHAnsi" w:cstheme="minorHAnsi"/>
              </w:rPr>
              <w:t>III</w:t>
            </w:r>
          </w:p>
        </w:tc>
        <w:tc>
          <w:tcPr>
            <w:tcW w:w="1635" w:type="dxa"/>
          </w:tcPr>
          <w:p w14:paraId="28534345" w14:textId="77777777" w:rsidR="0057783D" w:rsidRPr="0057783D" w:rsidRDefault="0057783D" w:rsidP="00327D3A">
            <w:pPr>
              <w:pStyle w:val="TableParagraph"/>
              <w:ind w:right="139"/>
              <w:jc w:val="center"/>
              <w:rPr>
                <w:rFonts w:asciiTheme="minorHAnsi" w:hAnsiTheme="minorHAnsi" w:cstheme="minorHAnsi"/>
              </w:rPr>
            </w:pPr>
            <w:r w:rsidRPr="0057783D">
              <w:rPr>
                <w:rFonts w:asciiTheme="minorHAnsi" w:hAnsiTheme="minorHAnsi" w:cstheme="minorHAnsi"/>
              </w:rPr>
              <w:t>Not avail.</w:t>
            </w:r>
          </w:p>
        </w:tc>
      </w:tr>
      <w:tr w:rsidR="0057783D" w:rsidRPr="0057783D" w14:paraId="7DDDBE80" w14:textId="77777777" w:rsidTr="00640813">
        <w:trPr>
          <w:trHeight w:val="418"/>
        </w:trPr>
        <w:tc>
          <w:tcPr>
            <w:tcW w:w="1685" w:type="dxa"/>
          </w:tcPr>
          <w:p w14:paraId="00A15755" w14:textId="77777777" w:rsidR="0057783D" w:rsidRPr="0057783D" w:rsidRDefault="0057783D" w:rsidP="00327D3A">
            <w:pPr>
              <w:pStyle w:val="TableParagraph"/>
              <w:ind w:left="255" w:right="248"/>
              <w:jc w:val="center"/>
              <w:rPr>
                <w:rFonts w:asciiTheme="minorHAnsi" w:hAnsiTheme="minorHAnsi" w:cstheme="minorHAnsi"/>
              </w:rPr>
            </w:pPr>
            <w:r w:rsidRPr="0057783D">
              <w:rPr>
                <w:rFonts w:asciiTheme="minorHAnsi" w:hAnsiTheme="minorHAnsi" w:cstheme="minorHAnsi"/>
              </w:rPr>
              <w:t>Crude Oil</w:t>
            </w:r>
            <w:r w:rsidR="00640813">
              <w:rPr>
                <w:rFonts w:asciiTheme="minorHAnsi" w:hAnsiTheme="minorHAnsi" w:cstheme="minorHAnsi"/>
              </w:rPr>
              <w:t>s</w:t>
            </w:r>
            <w:r w:rsidRPr="00B4464C">
              <w:rPr>
                <w:rFonts w:asciiTheme="minorHAnsi" w:hAnsiTheme="minorHAnsi" w:cstheme="minorHAnsi"/>
                <w:b/>
                <w:color w:val="FF0000"/>
              </w:rPr>
              <w:t>*</w:t>
            </w:r>
          </w:p>
        </w:tc>
        <w:tc>
          <w:tcPr>
            <w:tcW w:w="1445" w:type="dxa"/>
          </w:tcPr>
          <w:p w14:paraId="489FFAF2" w14:textId="77777777" w:rsidR="0057783D" w:rsidRPr="0057783D" w:rsidRDefault="0057783D" w:rsidP="00327D3A">
            <w:pPr>
              <w:pStyle w:val="TableParagraph"/>
              <w:ind w:left="210" w:right="200"/>
              <w:jc w:val="center"/>
              <w:rPr>
                <w:rFonts w:asciiTheme="minorHAnsi" w:hAnsiTheme="minorHAnsi" w:cstheme="minorHAnsi"/>
              </w:rPr>
            </w:pPr>
            <w:r w:rsidRPr="0057783D">
              <w:rPr>
                <w:rFonts w:asciiTheme="minorHAnsi" w:hAnsiTheme="minorHAnsi" w:cstheme="minorHAnsi"/>
              </w:rPr>
              <w:t>700 – 950</w:t>
            </w:r>
          </w:p>
        </w:tc>
        <w:tc>
          <w:tcPr>
            <w:tcW w:w="1705" w:type="dxa"/>
          </w:tcPr>
          <w:p w14:paraId="3C6AF00E" w14:textId="77777777" w:rsidR="0057783D" w:rsidRPr="0057783D" w:rsidRDefault="0057783D" w:rsidP="00327D3A">
            <w:pPr>
              <w:pStyle w:val="TableParagraph"/>
              <w:ind w:left="213" w:right="201"/>
              <w:jc w:val="center"/>
              <w:rPr>
                <w:rFonts w:asciiTheme="minorHAnsi" w:hAnsiTheme="minorHAnsi" w:cstheme="minorHAnsi"/>
              </w:rPr>
            </w:pPr>
            <w:r w:rsidRPr="0057783D">
              <w:rPr>
                <w:rFonts w:asciiTheme="minorHAnsi" w:hAnsiTheme="minorHAnsi" w:cstheme="minorHAnsi"/>
              </w:rPr>
              <w:t>0.7 – 0.98</w:t>
            </w:r>
          </w:p>
        </w:tc>
        <w:tc>
          <w:tcPr>
            <w:tcW w:w="1402" w:type="dxa"/>
          </w:tcPr>
          <w:p w14:paraId="6D881BBB" w14:textId="77777777" w:rsidR="0057783D" w:rsidRPr="0057783D" w:rsidRDefault="0057783D" w:rsidP="00327D3A">
            <w:pPr>
              <w:pStyle w:val="TableParagraph"/>
              <w:ind w:left="200" w:right="190"/>
              <w:jc w:val="center"/>
              <w:rPr>
                <w:rFonts w:asciiTheme="minorHAnsi" w:hAnsiTheme="minorHAnsi" w:cstheme="minorHAnsi"/>
              </w:rPr>
            </w:pPr>
            <w:r w:rsidRPr="0057783D">
              <w:rPr>
                <w:rFonts w:asciiTheme="minorHAnsi" w:hAnsiTheme="minorHAnsi" w:cstheme="minorHAnsi"/>
              </w:rPr>
              <w:t>70.6 – 17.5</w:t>
            </w:r>
          </w:p>
        </w:tc>
        <w:tc>
          <w:tcPr>
            <w:tcW w:w="1478" w:type="dxa"/>
          </w:tcPr>
          <w:p w14:paraId="199CBC30" w14:textId="77777777" w:rsidR="0057783D" w:rsidRPr="0057783D" w:rsidRDefault="0057783D" w:rsidP="00327D3A">
            <w:pPr>
              <w:pStyle w:val="TableParagraph"/>
              <w:ind w:left="337" w:right="326"/>
              <w:jc w:val="center"/>
              <w:rPr>
                <w:rFonts w:asciiTheme="minorHAnsi" w:hAnsiTheme="minorHAnsi" w:cstheme="minorHAnsi"/>
              </w:rPr>
            </w:pPr>
            <w:r w:rsidRPr="0057783D">
              <w:rPr>
                <w:rFonts w:asciiTheme="minorHAnsi" w:hAnsiTheme="minorHAnsi" w:cstheme="minorHAnsi"/>
              </w:rPr>
              <w:t>I/II/III/IV</w:t>
            </w:r>
          </w:p>
        </w:tc>
        <w:tc>
          <w:tcPr>
            <w:tcW w:w="1635" w:type="dxa"/>
          </w:tcPr>
          <w:p w14:paraId="2CEC3C9B" w14:textId="77777777" w:rsidR="0057783D" w:rsidRPr="0057783D" w:rsidRDefault="0057783D" w:rsidP="00327D3A">
            <w:pPr>
              <w:pStyle w:val="TableParagraph"/>
              <w:ind w:right="140"/>
              <w:jc w:val="center"/>
              <w:rPr>
                <w:rFonts w:asciiTheme="minorHAnsi" w:hAnsiTheme="minorHAnsi" w:cstheme="minorHAnsi"/>
              </w:rPr>
            </w:pPr>
            <w:r w:rsidRPr="0057783D">
              <w:rPr>
                <w:rFonts w:asciiTheme="minorHAnsi" w:hAnsiTheme="minorHAnsi" w:cstheme="minorHAnsi"/>
              </w:rPr>
              <w:t>0 – 0.1%</w:t>
            </w:r>
          </w:p>
        </w:tc>
      </w:tr>
      <w:tr w:rsidR="0057783D" w:rsidRPr="0057783D" w14:paraId="085FDFE1" w14:textId="77777777" w:rsidTr="00E54DB7">
        <w:trPr>
          <w:trHeight w:val="287"/>
        </w:trPr>
        <w:tc>
          <w:tcPr>
            <w:tcW w:w="9350" w:type="dxa"/>
            <w:gridSpan w:val="6"/>
          </w:tcPr>
          <w:p w14:paraId="3EE23D8B" w14:textId="77777777" w:rsidR="0057783D" w:rsidRPr="0057783D" w:rsidRDefault="0057783D" w:rsidP="00327D3A">
            <w:pPr>
              <w:pStyle w:val="TableParagraph"/>
              <w:spacing w:before="29"/>
              <w:ind w:left="170"/>
              <w:rPr>
                <w:rFonts w:asciiTheme="minorHAnsi" w:hAnsiTheme="minorHAnsi" w:cstheme="minorHAnsi"/>
                <w:i/>
                <w:sz w:val="20"/>
              </w:rPr>
            </w:pPr>
            <w:r w:rsidRPr="0057783D">
              <w:rPr>
                <w:rFonts w:asciiTheme="minorHAnsi" w:hAnsiTheme="minorHAnsi" w:cstheme="minorHAnsi"/>
                <w:i/>
                <w:sz w:val="20"/>
              </w:rPr>
              <w:t>(synonyms: Bakken, Black Wax Crude, Canadian Oil Sands)</w:t>
            </w:r>
          </w:p>
        </w:tc>
      </w:tr>
      <w:tr w:rsidR="0057783D" w:rsidRPr="0057783D" w14:paraId="7B3B62C4" w14:textId="77777777" w:rsidTr="00640813">
        <w:trPr>
          <w:trHeight w:val="418"/>
        </w:trPr>
        <w:tc>
          <w:tcPr>
            <w:tcW w:w="1685" w:type="dxa"/>
          </w:tcPr>
          <w:p w14:paraId="611C812B" w14:textId="77777777" w:rsidR="0057783D" w:rsidRPr="0057783D" w:rsidRDefault="00640813" w:rsidP="00327D3A">
            <w:pPr>
              <w:pStyle w:val="TableParagraph"/>
              <w:ind w:left="255" w:right="246"/>
              <w:jc w:val="center"/>
              <w:rPr>
                <w:rFonts w:asciiTheme="minorHAnsi" w:hAnsiTheme="minorHAnsi" w:cstheme="minorHAnsi"/>
              </w:rPr>
            </w:pPr>
            <w:r>
              <w:rPr>
                <w:rFonts w:asciiTheme="minorHAnsi" w:hAnsiTheme="minorHAnsi" w:cstheme="minorHAnsi"/>
              </w:rPr>
              <w:t>Bunker Oils</w:t>
            </w:r>
            <w:r w:rsidR="0057783D" w:rsidRPr="00B4464C">
              <w:rPr>
                <w:rFonts w:asciiTheme="minorHAnsi" w:hAnsiTheme="minorHAnsi" w:cstheme="minorHAnsi"/>
                <w:b/>
                <w:color w:val="FF0000"/>
              </w:rPr>
              <w:t>*</w:t>
            </w:r>
          </w:p>
        </w:tc>
        <w:tc>
          <w:tcPr>
            <w:tcW w:w="1445" w:type="dxa"/>
          </w:tcPr>
          <w:p w14:paraId="1D9444EF" w14:textId="77777777" w:rsidR="0057783D" w:rsidRPr="0057783D" w:rsidRDefault="0057783D" w:rsidP="00327D3A">
            <w:pPr>
              <w:pStyle w:val="TableParagraph"/>
              <w:ind w:left="210" w:right="200"/>
              <w:jc w:val="center"/>
              <w:rPr>
                <w:rFonts w:asciiTheme="minorHAnsi" w:hAnsiTheme="minorHAnsi" w:cstheme="minorHAnsi"/>
              </w:rPr>
            </w:pPr>
            <w:r w:rsidRPr="0057783D">
              <w:rPr>
                <w:rFonts w:asciiTheme="minorHAnsi" w:hAnsiTheme="minorHAnsi" w:cstheme="minorHAnsi"/>
              </w:rPr>
              <w:t>880 – 1010</w:t>
            </w:r>
          </w:p>
        </w:tc>
        <w:tc>
          <w:tcPr>
            <w:tcW w:w="1705" w:type="dxa"/>
          </w:tcPr>
          <w:p w14:paraId="5C255765" w14:textId="77777777" w:rsidR="0057783D" w:rsidRPr="0057783D" w:rsidRDefault="0057783D" w:rsidP="00327D3A">
            <w:pPr>
              <w:pStyle w:val="TableParagraph"/>
              <w:ind w:left="213" w:right="201"/>
              <w:jc w:val="center"/>
              <w:rPr>
                <w:rFonts w:asciiTheme="minorHAnsi" w:hAnsiTheme="minorHAnsi" w:cstheme="minorHAnsi"/>
              </w:rPr>
            </w:pPr>
            <w:r w:rsidRPr="0057783D">
              <w:rPr>
                <w:rFonts w:asciiTheme="minorHAnsi" w:hAnsiTheme="minorHAnsi" w:cstheme="minorHAnsi"/>
              </w:rPr>
              <w:t>0.88 – 1.01</w:t>
            </w:r>
          </w:p>
        </w:tc>
        <w:tc>
          <w:tcPr>
            <w:tcW w:w="1402" w:type="dxa"/>
          </w:tcPr>
          <w:p w14:paraId="1F969DFA" w14:textId="77777777" w:rsidR="0057783D" w:rsidRPr="0057783D" w:rsidRDefault="0057783D" w:rsidP="00327D3A">
            <w:pPr>
              <w:pStyle w:val="TableParagraph"/>
              <w:ind w:left="200" w:right="189"/>
              <w:jc w:val="center"/>
              <w:rPr>
                <w:rFonts w:asciiTheme="minorHAnsi" w:hAnsiTheme="minorHAnsi" w:cstheme="minorHAnsi"/>
              </w:rPr>
            </w:pPr>
            <w:r w:rsidRPr="0057783D">
              <w:rPr>
                <w:rFonts w:asciiTheme="minorHAnsi" w:hAnsiTheme="minorHAnsi" w:cstheme="minorHAnsi"/>
              </w:rPr>
              <w:t>29.3 – 8.6</w:t>
            </w:r>
          </w:p>
        </w:tc>
        <w:tc>
          <w:tcPr>
            <w:tcW w:w="1478" w:type="dxa"/>
          </w:tcPr>
          <w:p w14:paraId="703742F4" w14:textId="77777777" w:rsidR="0057783D" w:rsidRPr="0057783D" w:rsidRDefault="0057783D" w:rsidP="00327D3A">
            <w:pPr>
              <w:pStyle w:val="TableParagraph"/>
              <w:ind w:left="337" w:right="326"/>
              <w:jc w:val="center"/>
              <w:rPr>
                <w:rFonts w:asciiTheme="minorHAnsi" w:hAnsiTheme="minorHAnsi" w:cstheme="minorHAnsi"/>
              </w:rPr>
            </w:pPr>
            <w:r w:rsidRPr="0057783D">
              <w:rPr>
                <w:rFonts w:asciiTheme="minorHAnsi" w:hAnsiTheme="minorHAnsi" w:cstheme="minorHAnsi"/>
              </w:rPr>
              <w:t>IV/V</w:t>
            </w:r>
          </w:p>
        </w:tc>
        <w:tc>
          <w:tcPr>
            <w:tcW w:w="1635" w:type="dxa"/>
          </w:tcPr>
          <w:p w14:paraId="13108141" w14:textId="77777777" w:rsidR="0057783D" w:rsidRPr="0057783D" w:rsidRDefault="0057783D" w:rsidP="00327D3A">
            <w:pPr>
              <w:pStyle w:val="TableParagraph"/>
              <w:ind w:right="139"/>
              <w:jc w:val="center"/>
              <w:rPr>
                <w:rFonts w:asciiTheme="minorHAnsi" w:hAnsiTheme="minorHAnsi" w:cstheme="minorHAnsi"/>
              </w:rPr>
            </w:pPr>
            <w:r w:rsidRPr="0057783D">
              <w:rPr>
                <w:rFonts w:asciiTheme="minorHAnsi" w:hAnsiTheme="minorHAnsi" w:cstheme="minorHAnsi"/>
              </w:rPr>
              <w:t>0 – 4.5%</w:t>
            </w:r>
          </w:p>
        </w:tc>
      </w:tr>
      <w:tr w:rsidR="0057783D" w:rsidRPr="0057783D" w14:paraId="7A1F01E7" w14:textId="77777777" w:rsidTr="00E54DB7">
        <w:trPr>
          <w:trHeight w:val="288"/>
        </w:trPr>
        <w:tc>
          <w:tcPr>
            <w:tcW w:w="9350" w:type="dxa"/>
            <w:gridSpan w:val="6"/>
          </w:tcPr>
          <w:p w14:paraId="3048F656" w14:textId="5E5EF165" w:rsidR="0057783D" w:rsidRPr="0057783D" w:rsidRDefault="0057783D" w:rsidP="00CA5AE1">
            <w:pPr>
              <w:pStyle w:val="TableParagraph"/>
              <w:spacing w:before="29"/>
              <w:ind w:left="170"/>
              <w:rPr>
                <w:rFonts w:asciiTheme="minorHAnsi" w:hAnsiTheme="minorHAnsi" w:cstheme="minorHAnsi"/>
                <w:i/>
                <w:sz w:val="20"/>
              </w:rPr>
            </w:pPr>
            <w:r w:rsidRPr="0057783D">
              <w:rPr>
                <w:rFonts w:asciiTheme="minorHAnsi" w:hAnsiTheme="minorHAnsi" w:cstheme="minorHAnsi"/>
                <w:i/>
                <w:sz w:val="20"/>
              </w:rPr>
              <w:t>(synonyms: IFO380, hsvgo, , cbfs, hco)</w:t>
            </w:r>
            <w:r w:rsidR="00CA5AE1" w:rsidRPr="0057783D">
              <w:rPr>
                <w:rFonts w:asciiTheme="minorHAnsi" w:hAnsiTheme="minorHAnsi" w:cstheme="minorHAnsi"/>
                <w:i/>
                <w:sz w:val="20"/>
              </w:rPr>
              <w:t xml:space="preserve"> HSFO</w:t>
            </w:r>
          </w:p>
        </w:tc>
      </w:tr>
    </w:tbl>
    <w:p w14:paraId="1298F1C2" w14:textId="77777777" w:rsidR="0057783D" w:rsidRDefault="0057783D" w:rsidP="0057783D">
      <w:pPr>
        <w:ind w:left="243" w:right="399" w:hanging="144"/>
        <w:rPr>
          <w:rFonts w:cstheme="minorHAnsi"/>
          <w:b/>
        </w:rPr>
      </w:pPr>
      <w:r w:rsidRPr="00B4464C">
        <w:rPr>
          <w:rFonts w:cstheme="minorHAnsi"/>
          <w:b/>
          <w:color w:val="FF0000"/>
        </w:rPr>
        <w:t>*</w:t>
      </w:r>
      <w:r w:rsidR="00CF3213">
        <w:rPr>
          <w:rFonts w:cstheme="minorHAnsi"/>
          <w:b/>
        </w:rPr>
        <w:t xml:space="preserve"> Products with the </w:t>
      </w:r>
      <w:r w:rsidRPr="00B4464C">
        <w:rPr>
          <w:rFonts w:cstheme="minorHAnsi"/>
          <w:b/>
        </w:rPr>
        <w:t>potential to become non-floating oils</w:t>
      </w:r>
      <w:r w:rsidR="00CF3213">
        <w:rPr>
          <w:rFonts w:cstheme="minorHAnsi"/>
          <w:b/>
        </w:rPr>
        <w:t xml:space="preserve"> per WAC 173-182-030(31</w:t>
      </w:r>
      <w:r w:rsidR="00CF3213" w:rsidRPr="00CF3213">
        <w:rPr>
          <w:rFonts w:cstheme="minorHAnsi"/>
          <w:b/>
        </w:rPr>
        <w:t>).</w:t>
      </w:r>
    </w:p>
    <w:p w14:paraId="107F5641" w14:textId="77777777" w:rsidR="0057783D" w:rsidRDefault="0057783D" w:rsidP="00EE3968">
      <w:pPr>
        <w:pStyle w:val="Heading2"/>
      </w:pPr>
      <w:bookmarkStart w:id="13" w:name="_Toc66094467"/>
      <w:bookmarkStart w:id="14" w:name="_Toc66094492"/>
      <w:r>
        <w:t>Contracted Resources for NFO Spills</w:t>
      </w:r>
      <w:bookmarkEnd w:id="13"/>
      <w:bookmarkEnd w:id="14"/>
    </w:p>
    <w:p w14:paraId="001CA6A0" w14:textId="28D694B3" w:rsidR="00417B2C" w:rsidRDefault="00640813" w:rsidP="0019323B">
      <w:r w:rsidRPr="005263D8">
        <w:rPr>
          <w:highlight w:val="yellow"/>
        </w:rPr>
        <w:t>Company</w:t>
      </w:r>
      <w:r w:rsidR="00646698">
        <w:rPr>
          <w:highlight w:val="yellow"/>
        </w:rPr>
        <w:t xml:space="preserve"> Name</w:t>
      </w:r>
      <w:r w:rsidR="0019323B">
        <w:t xml:space="preserve"> has a service agreement with </w:t>
      </w:r>
      <w:r w:rsidR="00B732DE" w:rsidRPr="00646698">
        <w:rPr>
          <w:highlight w:val="yellow"/>
        </w:rPr>
        <w:t>PRC</w:t>
      </w:r>
      <w:r w:rsidR="0019323B">
        <w:t>, an approved Primary Response Contractors (PRC) with the state of Washington and the U.S. Coast Guard</w:t>
      </w:r>
      <w:r w:rsidR="00AF6812">
        <w:t xml:space="preserve">. </w:t>
      </w:r>
      <w:r w:rsidR="00AF6812" w:rsidRPr="00646698">
        <w:t>PRC</w:t>
      </w:r>
      <w:r w:rsidR="0019323B">
        <w:t xml:space="preserve"> has the necessary personnel and equipment (see </w:t>
      </w:r>
      <w:r w:rsidR="00B732DE">
        <w:t xml:space="preserve">contractor’s PRC application and </w:t>
      </w:r>
      <w:r w:rsidR="0019323B">
        <w:t xml:space="preserve">WRRL as appropriate) capable </w:t>
      </w:r>
      <w:r w:rsidR="00AF6812">
        <w:t xml:space="preserve">of </w:t>
      </w:r>
      <w:r w:rsidR="0019323B">
        <w:t>respond</w:t>
      </w:r>
      <w:r w:rsidR="00AF6812">
        <w:t>ing</w:t>
      </w:r>
      <w:r w:rsidR="0019323B">
        <w:t xml:space="preserve"> to a</w:t>
      </w:r>
      <w:r w:rsidR="00AF6812">
        <w:t xml:space="preserve">n </w:t>
      </w:r>
      <w:r w:rsidR="0019323B">
        <w:t>oil spill within the time frames outlined in</w:t>
      </w:r>
      <w:r w:rsidR="00AF6812">
        <w:t xml:space="preserve"> </w:t>
      </w:r>
      <w:r>
        <w:t>Table 2</w:t>
      </w:r>
      <w:r w:rsidR="0019323B">
        <w:t xml:space="preserve"> to meet this regulatory requirement of WAC 173-182-324(2). </w:t>
      </w:r>
      <w:r w:rsidR="00AF6812" w:rsidRPr="00646698">
        <w:t>PRC</w:t>
      </w:r>
      <w:r w:rsidR="00B732DE">
        <w:t xml:space="preserve"> will aggressively respond</w:t>
      </w:r>
      <w:r w:rsidR="0019323B">
        <w:t xml:space="preserve"> to floating oil,</w:t>
      </w:r>
      <w:r w:rsidR="0038074F">
        <w:t xml:space="preserve"> </w:t>
      </w:r>
      <w:r w:rsidR="006F668C">
        <w:t>will,</w:t>
      </w:r>
      <w:r w:rsidR="0038074F">
        <w:t xml:space="preserve"> and will </w:t>
      </w:r>
      <w:r w:rsidR="00B732DE">
        <w:t>prepare</w:t>
      </w:r>
      <w:r w:rsidR="0019323B">
        <w:t xml:space="preserve"> for detection</w:t>
      </w:r>
      <w:r w:rsidR="0038074F">
        <w:t xml:space="preserve">, </w:t>
      </w:r>
      <w:r w:rsidR="0019323B">
        <w:t>deli</w:t>
      </w:r>
      <w:r w:rsidR="00AF6812">
        <w:t>neation</w:t>
      </w:r>
      <w:r w:rsidR="0038074F">
        <w:t xml:space="preserve">, and recovery of non-floating oil if necessary. </w:t>
      </w:r>
      <w:r w:rsidR="00AF6812">
        <w:t xml:space="preserve"> </w:t>
      </w:r>
      <w:r w:rsidR="0019323B">
        <w:t xml:space="preserve"> </w:t>
      </w:r>
    </w:p>
    <w:p w14:paraId="663105A4" w14:textId="77777777" w:rsidR="00B4464C" w:rsidRDefault="00E378F5" w:rsidP="00E378F5">
      <w:pPr>
        <w:pStyle w:val="Heading2"/>
      </w:pPr>
      <w:bookmarkStart w:id="15" w:name="_Toc66094468"/>
      <w:bookmarkStart w:id="16" w:name="_Toc66094493"/>
      <w:r>
        <w:t>NFO Assessment</w:t>
      </w:r>
      <w:bookmarkEnd w:id="15"/>
      <w:bookmarkEnd w:id="16"/>
    </w:p>
    <w:p w14:paraId="01B2434B" w14:textId="77777777" w:rsidR="0012772B" w:rsidRDefault="00E378F5" w:rsidP="00E378F5">
      <w:r>
        <w:t>There are many important ways that a floating oil spill response dif</w:t>
      </w:r>
      <w:r w:rsidR="0012772B">
        <w:t xml:space="preserve">fers from an NFO spill response, including the personnel, equipment, and tactics </w:t>
      </w:r>
      <w:r w:rsidR="00B732DE">
        <w:t>that will be used to respond to</w:t>
      </w:r>
      <w:r w:rsidR="0012772B">
        <w:t xml:space="preserve"> the spill. Because of these differences, it is important to determine early on whether a spilled product has the </w:t>
      </w:r>
      <w:r w:rsidR="00B732DE">
        <w:t>potential</w:t>
      </w:r>
      <w:r w:rsidR="0012772B">
        <w:t xml:space="preserve"> to sink or submerge. </w:t>
      </w:r>
    </w:p>
    <w:p w14:paraId="2ECC4686" w14:textId="31FDE34E" w:rsidR="00E378F5" w:rsidRPr="00E378F5" w:rsidRDefault="0012772B" w:rsidP="00E378F5">
      <w:r>
        <w:t xml:space="preserve">Within the first hour of a spill, </w:t>
      </w:r>
      <w:r w:rsidR="00E378F5" w:rsidRPr="0027072E">
        <w:rPr>
          <w:highlight w:val="yellow"/>
        </w:rPr>
        <w:t>Company</w:t>
      </w:r>
      <w:r w:rsidR="0038074F">
        <w:rPr>
          <w:highlight w:val="yellow"/>
        </w:rPr>
        <w:t xml:space="preserve"> Name</w:t>
      </w:r>
      <w:r w:rsidR="00E378F5" w:rsidRPr="0027072E">
        <w:rPr>
          <w:highlight w:val="yellow"/>
        </w:rPr>
        <w:t xml:space="preserve"> </w:t>
      </w:r>
      <w:r w:rsidRPr="006F668C">
        <w:t>personnel</w:t>
      </w:r>
      <w:r>
        <w:t xml:space="preserve"> will conduct an initial assessment of the characteristics of the spilled product</w:t>
      </w:r>
      <w:r w:rsidR="005E4BA0">
        <w:t>,</w:t>
      </w:r>
      <w:r>
        <w:t xml:space="preserve"> and </w:t>
      </w:r>
      <w:r w:rsidR="005E4BA0">
        <w:t xml:space="preserve">the characteristics </w:t>
      </w:r>
      <w:r>
        <w:t>of the waterbody it spilled into</w:t>
      </w:r>
      <w:r w:rsidR="008273FB">
        <w:t xml:space="preserve"> (using Attachment A of section 9412.A2 in the NWACP).</w:t>
      </w:r>
      <w:r w:rsidR="005E4BA0">
        <w:t xml:space="preserve"> </w:t>
      </w:r>
      <w:r w:rsidR="006F668C">
        <w:t>If available at the time, we will</w:t>
      </w:r>
      <w:r>
        <w:t xml:space="preserve"> consult with </w:t>
      </w:r>
      <w:r w:rsidR="006F668C">
        <w:t xml:space="preserve">available </w:t>
      </w:r>
      <w:r w:rsidR="006F668C">
        <w:lastRenderedPageBreak/>
        <w:t xml:space="preserve">response partners including </w:t>
      </w:r>
      <w:r w:rsidRPr="006F668C">
        <w:rPr>
          <w:highlight w:val="yellow"/>
        </w:rPr>
        <w:t>our PRC</w:t>
      </w:r>
      <w:r w:rsidR="0038074F">
        <w:t>,</w:t>
      </w:r>
      <w:r w:rsidR="00CA5AE1">
        <w:t xml:space="preserve"> </w:t>
      </w:r>
      <w:r w:rsidR="007309D5">
        <w:t xml:space="preserve">the environmental unit, NOAA SSC, and </w:t>
      </w:r>
      <w:r w:rsidR="007309D5" w:rsidRPr="006F668C">
        <w:rPr>
          <w:highlight w:val="yellow"/>
        </w:rPr>
        <w:t>other company resources</w:t>
      </w:r>
      <w:r w:rsidR="007309D5">
        <w:t xml:space="preserve"> </w:t>
      </w:r>
      <w:r>
        <w:t>to determine if there is a potential for the oil to sink or submerge. If the</w:t>
      </w:r>
      <w:r w:rsidR="0038074F">
        <w:t xml:space="preserve"> potential exists</w:t>
      </w:r>
      <w:r>
        <w:t xml:space="preserve">, we will begin to mobilize the equipment and personnel necessary to respond. </w:t>
      </w:r>
      <w:r w:rsidR="006F668C">
        <w:t xml:space="preserve">If we do not immediately observe a potential to sink or submerge, we commit to reevaluating the potential as the response evolves. </w:t>
      </w:r>
    </w:p>
    <w:p w14:paraId="6DBA57F3" w14:textId="77777777" w:rsidR="00EE3968" w:rsidRDefault="00640813" w:rsidP="00EE3968">
      <w:pPr>
        <w:pStyle w:val="Heading2"/>
      </w:pPr>
      <w:bookmarkStart w:id="17" w:name="_Toc66094469"/>
      <w:bookmarkStart w:id="18" w:name="_Toc66094494"/>
      <w:r>
        <w:t xml:space="preserve">Table 2: </w:t>
      </w:r>
      <w:r w:rsidR="00327D3A">
        <w:t>Timet</w:t>
      </w:r>
      <w:r w:rsidR="00EE3968">
        <w:t xml:space="preserve">able for </w:t>
      </w:r>
      <w:r w:rsidR="00327D3A">
        <w:t>NFO Response Resources</w:t>
      </w:r>
      <w:bookmarkEnd w:id="17"/>
      <w:bookmarkEnd w:id="18"/>
      <w:r w:rsidR="00EE3968">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640"/>
      </w:tblGrid>
      <w:tr w:rsidR="00EE3968" w14:paraId="05F9D244" w14:textId="77777777" w:rsidTr="00225E55">
        <w:trPr>
          <w:trHeight w:val="366"/>
        </w:trPr>
        <w:tc>
          <w:tcPr>
            <w:tcW w:w="810" w:type="dxa"/>
            <w:vAlign w:val="center"/>
          </w:tcPr>
          <w:p w14:paraId="20CCEAE2" w14:textId="77777777" w:rsidR="00EE3968" w:rsidRPr="00EE3968" w:rsidRDefault="00EE3968" w:rsidP="00225E55">
            <w:pPr>
              <w:jc w:val="center"/>
              <w:rPr>
                <w:b/>
                <w:sz w:val="20"/>
              </w:rPr>
            </w:pPr>
            <w:r w:rsidRPr="00EE3968">
              <w:rPr>
                <w:b/>
              </w:rPr>
              <w:t>Time</w:t>
            </w:r>
          </w:p>
        </w:tc>
        <w:tc>
          <w:tcPr>
            <w:tcW w:w="8640" w:type="dxa"/>
            <w:vAlign w:val="center"/>
          </w:tcPr>
          <w:p w14:paraId="705B9F43" w14:textId="77777777" w:rsidR="00EE3968" w:rsidRPr="00EE3968" w:rsidRDefault="00EE3968" w:rsidP="00225E55">
            <w:pPr>
              <w:jc w:val="center"/>
              <w:rPr>
                <w:b/>
              </w:rPr>
            </w:pPr>
            <w:r w:rsidRPr="00EE3968">
              <w:rPr>
                <w:b/>
              </w:rPr>
              <w:t>Capability</w:t>
            </w:r>
          </w:p>
        </w:tc>
      </w:tr>
      <w:tr w:rsidR="00EE3968" w14:paraId="368867DF" w14:textId="77777777" w:rsidTr="00225E55">
        <w:trPr>
          <w:trHeight w:val="868"/>
        </w:trPr>
        <w:tc>
          <w:tcPr>
            <w:tcW w:w="810" w:type="dxa"/>
            <w:vAlign w:val="center"/>
          </w:tcPr>
          <w:p w14:paraId="5C04372B" w14:textId="77777777" w:rsidR="00EE3968" w:rsidRPr="00EE3968" w:rsidRDefault="00EE3968" w:rsidP="00225E55">
            <w:pPr>
              <w:jc w:val="center"/>
            </w:pPr>
            <w:r w:rsidRPr="00EE3968">
              <w:t>1 hour</w:t>
            </w:r>
          </w:p>
        </w:tc>
        <w:tc>
          <w:tcPr>
            <w:tcW w:w="8640" w:type="dxa"/>
          </w:tcPr>
          <w:p w14:paraId="28C55CDE" w14:textId="0F4FFB52" w:rsidR="00EE3968" w:rsidRPr="00EE3968" w:rsidRDefault="00EE3968" w:rsidP="0012772B">
            <w:r w:rsidRPr="0012772B">
              <w:rPr>
                <w:b/>
              </w:rPr>
              <w:t>Assessment:</w:t>
            </w:r>
            <w:r w:rsidRPr="00EE3968">
              <w:t xml:space="preserve"> </w:t>
            </w:r>
            <w:r w:rsidR="0012772B" w:rsidRPr="0027072E">
              <w:rPr>
                <w:highlight w:val="yellow"/>
              </w:rPr>
              <w:t>Company</w:t>
            </w:r>
            <w:r w:rsidR="00646698">
              <w:rPr>
                <w:highlight w:val="yellow"/>
              </w:rPr>
              <w:t xml:space="preserve"> Name</w:t>
            </w:r>
            <w:r w:rsidR="0012772B" w:rsidRPr="0027072E">
              <w:rPr>
                <w:highlight w:val="yellow"/>
              </w:rPr>
              <w:t xml:space="preserve"> </w:t>
            </w:r>
            <w:r w:rsidRPr="006F668C">
              <w:t>will initiate an assessment and consultation with</w:t>
            </w:r>
            <w:r w:rsidR="0012772B" w:rsidRPr="006F668C">
              <w:t xml:space="preserve"> </w:t>
            </w:r>
            <w:r w:rsidRPr="006F668C">
              <w:t>PRC</w:t>
            </w:r>
            <w:r w:rsidRPr="00EE3968">
              <w:t xml:space="preserve"> regarding the potential for the spilled oil to submerge or sink. </w:t>
            </w:r>
            <w:r w:rsidR="0012772B">
              <w:t>We</w:t>
            </w:r>
            <w:r w:rsidRPr="00EE3968">
              <w:t xml:space="preserve"> may use environmental factors (i.e., density of the receiving water, the chemical properties of the oil released, or other indicators</w:t>
            </w:r>
            <w:r w:rsidR="00A75494">
              <w:t>)</w:t>
            </w:r>
            <w:r w:rsidRPr="00EE3968">
              <w:t xml:space="preserve"> to begin a non-floating oil (NFO) assessment to identify the need for personnel and equipment mobilization if it will be needed during the cleanup effort</w:t>
            </w:r>
            <w:r w:rsidR="0012772B">
              <w:t>.</w:t>
            </w:r>
          </w:p>
        </w:tc>
      </w:tr>
      <w:tr w:rsidR="00EE3968" w14:paraId="2057DA5E" w14:textId="77777777" w:rsidTr="00A75494">
        <w:trPr>
          <w:trHeight w:val="2049"/>
        </w:trPr>
        <w:tc>
          <w:tcPr>
            <w:tcW w:w="810" w:type="dxa"/>
            <w:vAlign w:val="center"/>
          </w:tcPr>
          <w:p w14:paraId="2A05AAD5" w14:textId="77777777" w:rsidR="00EE3968" w:rsidRPr="00EE3968" w:rsidRDefault="00EE3968" w:rsidP="00225E55">
            <w:pPr>
              <w:jc w:val="center"/>
              <w:rPr>
                <w:szCs w:val="20"/>
              </w:rPr>
            </w:pPr>
            <w:r w:rsidRPr="00EE3968">
              <w:rPr>
                <w:szCs w:val="20"/>
              </w:rPr>
              <w:t>6-12 hours</w:t>
            </w:r>
          </w:p>
        </w:tc>
        <w:tc>
          <w:tcPr>
            <w:tcW w:w="8640" w:type="dxa"/>
          </w:tcPr>
          <w:p w14:paraId="36777888" w14:textId="03E6DD4B" w:rsidR="00EE3968" w:rsidRPr="00EE3968" w:rsidRDefault="00EE3968" w:rsidP="00A75494">
            <w:pPr>
              <w:rPr>
                <w:szCs w:val="20"/>
              </w:rPr>
            </w:pPr>
            <w:r w:rsidRPr="0012772B">
              <w:rPr>
                <w:b/>
                <w:szCs w:val="20"/>
              </w:rPr>
              <w:t>Detection and Delineation:</w:t>
            </w:r>
            <w:r w:rsidRPr="00EE3968">
              <w:rPr>
                <w:szCs w:val="20"/>
              </w:rPr>
              <w:t xml:space="preserve"> Should the assessment and consultation determine that the oil may become </w:t>
            </w:r>
            <w:r w:rsidR="00646698">
              <w:rPr>
                <w:szCs w:val="20"/>
              </w:rPr>
              <w:t xml:space="preserve">an </w:t>
            </w:r>
            <w:r w:rsidRPr="00EE3968">
              <w:rPr>
                <w:szCs w:val="20"/>
              </w:rPr>
              <w:t xml:space="preserve">NFO, </w:t>
            </w:r>
            <w:r w:rsidR="00646698">
              <w:rPr>
                <w:szCs w:val="20"/>
              </w:rPr>
              <w:t xml:space="preserve">the following </w:t>
            </w:r>
            <w:r w:rsidR="005E4BA0">
              <w:rPr>
                <w:szCs w:val="20"/>
              </w:rPr>
              <w:t xml:space="preserve">PRC </w:t>
            </w:r>
            <w:r w:rsidRPr="00EE3968">
              <w:rPr>
                <w:szCs w:val="20"/>
              </w:rPr>
              <w:t>resources and personnel to detect and delineate the spilled oil</w:t>
            </w:r>
            <w:r w:rsidR="00646698">
              <w:rPr>
                <w:szCs w:val="20"/>
              </w:rPr>
              <w:t xml:space="preserve"> could have arrived on scene: </w:t>
            </w:r>
            <w:r w:rsidRPr="00EE3968">
              <w:rPr>
                <w:szCs w:val="20"/>
              </w:rPr>
              <w:t>side scan</w:t>
            </w:r>
            <w:r w:rsidR="00646698">
              <w:rPr>
                <w:szCs w:val="20"/>
              </w:rPr>
              <w:t xml:space="preserve"> sonar, </w:t>
            </w:r>
            <w:r w:rsidRPr="00EE3968">
              <w:rPr>
                <w:szCs w:val="20"/>
              </w:rPr>
              <w:t>multibeam sonar, laser fluorosensors, induced polarization</w:t>
            </w:r>
            <w:r w:rsidR="00646698">
              <w:rPr>
                <w:szCs w:val="20"/>
              </w:rPr>
              <w:t xml:space="preserve"> system</w:t>
            </w:r>
            <w:r w:rsidRPr="00EE3968">
              <w:rPr>
                <w:szCs w:val="20"/>
              </w:rPr>
              <w:t xml:space="preserve">, divers, remotely operated vehicles, </w:t>
            </w:r>
            <w:r w:rsidR="00646698">
              <w:rPr>
                <w:szCs w:val="20"/>
              </w:rPr>
              <w:t>and/</w:t>
            </w:r>
            <w:r w:rsidRPr="00EE3968">
              <w:rPr>
                <w:szCs w:val="20"/>
              </w:rPr>
              <w:t>or other methods to locate the oil on the bottom or suspended in the water column</w:t>
            </w:r>
            <w:r w:rsidR="00646698">
              <w:rPr>
                <w:szCs w:val="20"/>
              </w:rPr>
              <w:t>.</w:t>
            </w:r>
            <w:r w:rsidR="00A75494">
              <w:rPr>
                <w:szCs w:val="20"/>
              </w:rPr>
              <w:t xml:space="preserve"> </w:t>
            </w:r>
            <w:r w:rsidRPr="00EE3968">
              <w:rPr>
                <w:szCs w:val="20"/>
              </w:rPr>
              <w:t>Additionally, containment boom, sorbent boom, silt curtains, or other methods for containing the oil that may remain floating on the surface</w:t>
            </w:r>
            <w:r w:rsidR="00646698">
              <w:rPr>
                <w:szCs w:val="20"/>
              </w:rPr>
              <w:t>,</w:t>
            </w:r>
            <w:r w:rsidRPr="00EE3968">
              <w:rPr>
                <w:szCs w:val="20"/>
              </w:rPr>
              <w:t xml:space="preserve"> or to reduce spreading on the bottom</w:t>
            </w:r>
            <w:r w:rsidR="00646698">
              <w:rPr>
                <w:szCs w:val="20"/>
              </w:rPr>
              <w:t>,</w:t>
            </w:r>
            <w:r w:rsidRPr="00EE3968">
              <w:rPr>
                <w:szCs w:val="20"/>
              </w:rPr>
              <w:t xml:space="preserve"> could have arrived. </w:t>
            </w:r>
          </w:p>
        </w:tc>
      </w:tr>
      <w:tr w:rsidR="00EE3968" w14:paraId="43160A30" w14:textId="77777777" w:rsidTr="006F668C">
        <w:trPr>
          <w:trHeight w:val="852"/>
        </w:trPr>
        <w:tc>
          <w:tcPr>
            <w:tcW w:w="810" w:type="dxa"/>
            <w:vAlign w:val="center"/>
          </w:tcPr>
          <w:p w14:paraId="6560FD45" w14:textId="77777777" w:rsidR="00EE3968" w:rsidRPr="00EE3968" w:rsidRDefault="00EE3968" w:rsidP="00225E55">
            <w:pPr>
              <w:jc w:val="center"/>
            </w:pPr>
            <w:r w:rsidRPr="00EE3968">
              <w:t>12-24 hours</w:t>
            </w:r>
          </w:p>
        </w:tc>
        <w:tc>
          <w:tcPr>
            <w:tcW w:w="8640" w:type="dxa"/>
          </w:tcPr>
          <w:p w14:paraId="54E137F3" w14:textId="77777777" w:rsidR="00EE3968" w:rsidRPr="00EE3968" w:rsidRDefault="00EE3968" w:rsidP="00225E55">
            <w:r w:rsidRPr="00EE3968">
              <w:rPr>
                <w:b/>
              </w:rPr>
              <w:t xml:space="preserve">Sampling: </w:t>
            </w:r>
            <w:r w:rsidRPr="00646698">
              <w:t>PRC</w:t>
            </w:r>
            <w:r w:rsidRPr="00EE3968">
              <w:t xml:space="preserve"> resources and personnel necessary to assess the impact of the spilled oil on the environment could have arrived. Types of resources that may be used for this purpose include </w:t>
            </w:r>
            <w:r w:rsidRPr="005E4BA0">
              <w:rPr>
                <w:highlight w:val="yellow"/>
              </w:rPr>
              <w:t>sampling equipment</w:t>
            </w:r>
            <w:r w:rsidRPr="006F668C">
              <w:t>.</w:t>
            </w:r>
          </w:p>
          <w:p w14:paraId="5F2C5718" w14:textId="77777777" w:rsidR="00EE3968" w:rsidRPr="00EE3968" w:rsidRDefault="00EE3968" w:rsidP="00A75494">
            <w:r w:rsidRPr="00EE3968">
              <w:rPr>
                <w:b/>
              </w:rPr>
              <w:t xml:space="preserve">Recovery: </w:t>
            </w:r>
            <w:r w:rsidRPr="00EE3968">
              <w:t xml:space="preserve">Additionally, dredges, submersible pumps, sorbents, agitators, or other equipment necessary to recover oil from the bottom and shoreline could have arrived. </w:t>
            </w:r>
          </w:p>
        </w:tc>
      </w:tr>
    </w:tbl>
    <w:p w14:paraId="3F919E71" w14:textId="77777777" w:rsidR="00EE3968" w:rsidRDefault="00EE3968" w:rsidP="00047839"/>
    <w:p w14:paraId="50782812" w14:textId="77777777" w:rsidR="00047839" w:rsidRDefault="00047839" w:rsidP="00047839">
      <w:pPr>
        <w:pStyle w:val="Heading2"/>
      </w:pPr>
      <w:bookmarkStart w:id="19" w:name="_Toc66094470"/>
      <w:bookmarkStart w:id="20" w:name="_Toc66094495"/>
      <w:r>
        <w:t>Tools for an NFO response</w:t>
      </w:r>
      <w:bookmarkEnd w:id="19"/>
      <w:bookmarkEnd w:id="20"/>
    </w:p>
    <w:p w14:paraId="2CA61E45" w14:textId="4AC437C6" w:rsidR="00EE3968" w:rsidRPr="00EE3968" w:rsidRDefault="00EE3968" w:rsidP="00047839">
      <w:r w:rsidRPr="00EE3968">
        <w:t xml:space="preserve">The </w:t>
      </w:r>
      <w:r w:rsidR="00047839">
        <w:t>Pacific Northwest</w:t>
      </w:r>
      <w:r w:rsidRPr="00EE3968">
        <w:t xml:space="preserve"> response community has developed response resources </w:t>
      </w:r>
      <w:r w:rsidR="00047839">
        <w:t>and</w:t>
      </w:r>
      <w:r w:rsidRPr="00EE3968">
        <w:t xml:space="preserve"> tools to support</w:t>
      </w:r>
      <w:r w:rsidR="00047839">
        <w:t xml:space="preserve"> spills from NFOs</w:t>
      </w:r>
      <w:r w:rsidRPr="00EE3968">
        <w:t xml:space="preserve">. Available resources/tools </w:t>
      </w:r>
      <w:r w:rsidR="00047839">
        <w:t>that</w:t>
      </w:r>
      <w:r w:rsidRPr="00EE3968">
        <w:t xml:space="preserve"> </w:t>
      </w:r>
      <w:r w:rsidR="00047839" w:rsidRPr="005263D8">
        <w:rPr>
          <w:highlight w:val="yellow"/>
        </w:rPr>
        <w:t xml:space="preserve">Company </w:t>
      </w:r>
      <w:r w:rsidR="00646698">
        <w:rPr>
          <w:highlight w:val="yellow"/>
        </w:rPr>
        <w:t>Name</w:t>
      </w:r>
      <w:r w:rsidRPr="00EE3968">
        <w:t xml:space="preserve"> and</w:t>
      </w:r>
      <w:r w:rsidR="00047839">
        <w:t xml:space="preserve"> our PRCs may reference in the event of a spill include</w:t>
      </w:r>
      <w:r w:rsidRPr="00EE3968">
        <w:t>:</w:t>
      </w:r>
    </w:p>
    <w:p w14:paraId="7BE40DD6" w14:textId="77777777" w:rsidR="00EE3968" w:rsidRPr="00EE3968" w:rsidRDefault="005643AE" w:rsidP="00E85460">
      <w:pPr>
        <w:pStyle w:val="ListParagraph"/>
        <w:numPr>
          <w:ilvl w:val="0"/>
          <w:numId w:val="8"/>
        </w:numPr>
        <w:spacing w:after="0"/>
        <w:ind w:hanging="360"/>
        <w:jc w:val="both"/>
      </w:pPr>
      <w:hyperlink r:id="rId10" w:history="1">
        <w:r w:rsidR="00CF3213" w:rsidRPr="00047839">
          <w:rPr>
            <w:rStyle w:val="Hyperlink"/>
          </w:rPr>
          <w:t>NWACP Section 9412</w:t>
        </w:r>
      </w:hyperlink>
      <w:r w:rsidR="00EE3968" w:rsidRPr="00EE3968">
        <w:t>– N</w:t>
      </w:r>
      <w:r w:rsidR="00047839">
        <w:t>on-floating Oils Response Tools</w:t>
      </w:r>
    </w:p>
    <w:p w14:paraId="76F3C399" w14:textId="77777777" w:rsidR="00EE3968" w:rsidRPr="00EE3968" w:rsidRDefault="005643AE" w:rsidP="00047839">
      <w:pPr>
        <w:pStyle w:val="ListParagraph"/>
        <w:numPr>
          <w:ilvl w:val="0"/>
          <w:numId w:val="8"/>
        </w:numPr>
        <w:ind w:hanging="360"/>
      </w:pPr>
      <w:hyperlink r:id="rId11" w:history="1">
        <w:r w:rsidR="00CF3213" w:rsidRPr="00047839">
          <w:rPr>
            <w:rStyle w:val="Hyperlink"/>
          </w:rPr>
          <w:t>Geographic Response Plans</w:t>
        </w:r>
      </w:hyperlink>
      <w:r w:rsidR="00EE3968" w:rsidRPr="00EE3968">
        <w:t xml:space="preserve"> (GRP) sections including the Non-floating Oils Response Options and Considerations Tool and the updated Resources at Risk information which details resources in the water column and sea</w:t>
      </w:r>
      <w:r w:rsidR="00047839">
        <w:t>floor at risk from NFO releases</w:t>
      </w:r>
    </w:p>
    <w:p w14:paraId="00A3C457" w14:textId="77777777" w:rsidR="00EE3968" w:rsidRPr="00EE3968" w:rsidRDefault="00EE3968" w:rsidP="00047839">
      <w:pPr>
        <w:pStyle w:val="ListParagraph"/>
        <w:numPr>
          <w:ilvl w:val="0"/>
          <w:numId w:val="8"/>
        </w:numPr>
        <w:ind w:hanging="360"/>
      </w:pPr>
      <w:r w:rsidRPr="00EE3968">
        <w:t>Additional response resources are located in the Sector Pu</w:t>
      </w:r>
      <w:r w:rsidR="00047839">
        <w:t>get Sound Area Contingency Plan</w:t>
      </w:r>
    </w:p>
    <w:p w14:paraId="25AFE58B" w14:textId="77777777" w:rsidR="00CF3213" w:rsidRDefault="005643AE" w:rsidP="00CF3213">
      <w:pPr>
        <w:pStyle w:val="ListParagraph"/>
        <w:numPr>
          <w:ilvl w:val="0"/>
          <w:numId w:val="8"/>
        </w:numPr>
        <w:spacing w:after="0"/>
        <w:ind w:hanging="360"/>
        <w:jc w:val="both"/>
      </w:pPr>
      <w:hyperlink r:id="rId12" w:history="1">
        <w:r w:rsidR="00CF3213" w:rsidRPr="00047839">
          <w:rPr>
            <w:rStyle w:val="Hyperlink"/>
          </w:rPr>
          <w:t>uSCAT Technical Reference Manual</w:t>
        </w:r>
      </w:hyperlink>
    </w:p>
    <w:p w14:paraId="6805D837" w14:textId="77777777" w:rsidR="00CF3213" w:rsidRDefault="00EE3968" w:rsidP="00047839">
      <w:pPr>
        <w:pStyle w:val="ListParagraph"/>
        <w:numPr>
          <w:ilvl w:val="0"/>
          <w:numId w:val="8"/>
        </w:numPr>
        <w:ind w:hanging="360"/>
      </w:pPr>
      <w:r w:rsidRPr="00EE3968">
        <w:t xml:space="preserve">Sunken Oil Detection and Recovery, American Petroleum Institute Technical Reports (1154-1, </w:t>
      </w:r>
      <w:r w:rsidR="00CF3213">
        <w:t>and</w:t>
      </w:r>
      <w:r w:rsidRPr="00EE3968">
        <w:t xml:space="preserve"> 1154-2)</w:t>
      </w:r>
    </w:p>
    <w:p w14:paraId="400BE687" w14:textId="2A91867C" w:rsidR="00EE3968" w:rsidRPr="006F668C" w:rsidRDefault="00640813" w:rsidP="006F668C">
      <w:pPr>
        <w:ind w:left="360"/>
        <w:rPr>
          <w:rFonts w:ascii="Times New Roman" w:eastAsia="Times New Roman" w:hAnsi="Times New Roman" w:cs="Times New Roman"/>
          <w:sz w:val="24"/>
          <w:szCs w:val="24"/>
        </w:rPr>
      </w:pPr>
      <w:r w:rsidRPr="005263D8">
        <w:rPr>
          <w:highlight w:val="yellow"/>
        </w:rPr>
        <w:t xml:space="preserve">Company </w:t>
      </w:r>
      <w:r w:rsidR="00646698">
        <w:rPr>
          <w:highlight w:val="yellow"/>
        </w:rPr>
        <w:t>Name</w:t>
      </w:r>
      <w:r w:rsidR="00EE3968" w:rsidRPr="00EE3968">
        <w:t xml:space="preserve"> and </w:t>
      </w:r>
      <w:r>
        <w:t xml:space="preserve">our </w:t>
      </w:r>
      <w:r w:rsidR="00EE3968" w:rsidRPr="00EE3968">
        <w:t xml:space="preserve">PRC will follow the above resource guidelines for detecting, delineating, and recovering </w:t>
      </w:r>
      <w:r w:rsidR="00B732DE">
        <w:t>non</w:t>
      </w:r>
      <w:r w:rsidR="008273FB">
        <w:t>-</w:t>
      </w:r>
      <w:r w:rsidR="006F668C">
        <w:t>floating oils, as applicable.</w:t>
      </w:r>
    </w:p>
    <w:sectPr w:rsidR="00EE3968" w:rsidRPr="006F668C" w:rsidSect="00EE011B">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590F1" w14:textId="77777777" w:rsidR="00BD7E46" w:rsidRDefault="00BD7E46" w:rsidP="00EE3968">
      <w:pPr>
        <w:spacing w:after="0" w:line="240" w:lineRule="auto"/>
      </w:pPr>
      <w:r>
        <w:separator/>
      </w:r>
    </w:p>
  </w:endnote>
  <w:endnote w:type="continuationSeparator" w:id="0">
    <w:p w14:paraId="724D77F7" w14:textId="77777777" w:rsidR="00BD7E46" w:rsidRDefault="00BD7E46" w:rsidP="00EE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A433" w14:textId="0B08CC44" w:rsidR="0056622A" w:rsidRPr="009201C6" w:rsidRDefault="005263D8" w:rsidP="006A3663">
    <w:pPr>
      <w:pStyle w:val="Footer"/>
      <w:rPr>
        <w:color w:val="000000" w:themeColor="text1"/>
      </w:rPr>
    </w:pPr>
    <w:r w:rsidRPr="003C685D">
      <w:rPr>
        <w:rStyle w:val="PageNumber"/>
        <w:color w:val="000000" w:themeColor="text1"/>
      </w:rPr>
      <w:t xml:space="preserve">ECY </w:t>
    </w:r>
    <w:r>
      <w:rPr>
        <w:color w:val="000000" w:themeColor="text1"/>
      </w:rPr>
      <w:t>###</w:t>
    </w:r>
    <w:r w:rsidR="00CF3213">
      <w:rPr>
        <w:color w:val="000000" w:themeColor="text1"/>
      </w:rPr>
      <w:tab/>
    </w:r>
    <w:r w:rsidR="00CF3213">
      <w:rPr>
        <w:color w:val="000000" w:themeColor="text1"/>
      </w:rPr>
      <w:tab/>
    </w:r>
    <w:r>
      <w:rPr>
        <w:color w:val="000000" w:themeColor="text1"/>
      </w:rPr>
      <w:t xml:space="preserve">Page </w:t>
    </w:r>
    <w:sdt>
      <w:sdtPr>
        <w:id w:val="-6213052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643AE">
          <w:rPr>
            <w:noProof/>
          </w:rPr>
          <w:t>1</w:t>
        </w:r>
        <w:r>
          <w:rPr>
            <w:noProof/>
          </w:rPr>
          <w:fldChar w:fldCharType="end"/>
        </w:r>
      </w:sdtContent>
    </w:sdt>
  </w:p>
  <w:p w14:paraId="46DC087A" w14:textId="77777777" w:rsidR="0056622A" w:rsidRDefault="005643AE">
    <w:pPr>
      <w:pStyle w:val="Footer"/>
    </w:pPr>
  </w:p>
  <w:p w14:paraId="023E02E5" w14:textId="77777777" w:rsidR="00BE398F" w:rsidRDefault="00BE39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1F6D4" w14:textId="2F102C8B" w:rsidR="00CF3213" w:rsidRDefault="00CF3213">
    <w:pPr>
      <w:pStyle w:val="Footer"/>
      <w:jc w:val="right"/>
    </w:pPr>
    <w:r>
      <w:t xml:space="preserve">Page </w:t>
    </w:r>
    <w:sdt>
      <w:sdtPr>
        <w:id w:val="8974048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643AE">
          <w:rPr>
            <w:noProof/>
          </w:rPr>
          <w:t>4</w:t>
        </w:r>
        <w:r>
          <w:rPr>
            <w:noProof/>
          </w:rPr>
          <w:fldChar w:fldCharType="end"/>
        </w:r>
      </w:sdtContent>
    </w:sdt>
  </w:p>
  <w:p w14:paraId="20D6DB37" w14:textId="77777777" w:rsidR="00EE3968" w:rsidRDefault="00EE3968">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A74D" w14:textId="77777777" w:rsidR="00BD7E46" w:rsidRDefault="00BD7E46" w:rsidP="00EE3968">
      <w:pPr>
        <w:spacing w:after="0" w:line="240" w:lineRule="auto"/>
      </w:pPr>
      <w:r>
        <w:separator/>
      </w:r>
    </w:p>
  </w:footnote>
  <w:footnote w:type="continuationSeparator" w:id="0">
    <w:p w14:paraId="11A8B4DD" w14:textId="77777777" w:rsidR="00BD7E46" w:rsidRDefault="00BD7E46" w:rsidP="00EE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ACAB" w14:textId="77777777" w:rsidR="00EE3968" w:rsidRDefault="00EE3968">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878"/>
    <w:multiLevelType w:val="hybridMultilevel"/>
    <w:tmpl w:val="4CC2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22D27"/>
    <w:multiLevelType w:val="hybridMultilevel"/>
    <w:tmpl w:val="C61461AA"/>
    <w:lvl w:ilvl="0" w:tplc="7EC26A1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3599E"/>
    <w:multiLevelType w:val="hybridMultilevel"/>
    <w:tmpl w:val="82581034"/>
    <w:lvl w:ilvl="0" w:tplc="7EC26A10">
      <w:numFmt w:val="bullet"/>
      <w:lvlText w:val="•"/>
      <w:lvlJc w:val="left"/>
      <w:pPr>
        <w:ind w:left="540" w:hanging="720"/>
      </w:pPr>
      <w:rPr>
        <w:rFonts w:ascii="Calibri" w:eastAsiaTheme="minorHAnsi" w:hAnsi="Calibri" w:cs="Calibri"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63F6065"/>
    <w:multiLevelType w:val="hybridMultilevel"/>
    <w:tmpl w:val="81645B7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9A8329C"/>
    <w:multiLevelType w:val="multilevel"/>
    <w:tmpl w:val="D6AAAEB2"/>
    <w:lvl w:ilvl="0">
      <w:start w:val="16"/>
      <w:numFmt w:val="decimal"/>
      <w:lvlText w:val="%1"/>
      <w:lvlJc w:val="left"/>
      <w:pPr>
        <w:ind w:left="890" w:hanging="780"/>
      </w:pPr>
      <w:rPr>
        <w:rFonts w:hint="default"/>
      </w:rPr>
    </w:lvl>
    <w:lvl w:ilvl="1">
      <w:start w:val="8"/>
      <w:numFmt w:val="decimal"/>
      <w:lvlText w:val="%1.%2"/>
      <w:lvlJc w:val="left"/>
      <w:pPr>
        <w:ind w:left="890" w:hanging="780"/>
      </w:pPr>
      <w:rPr>
        <w:rFonts w:hint="default"/>
      </w:rPr>
    </w:lvl>
    <w:lvl w:ilvl="2">
      <w:start w:val="5"/>
      <w:numFmt w:val="decimal"/>
      <w:lvlText w:val="%1.%2.%3"/>
      <w:lvlJc w:val="left"/>
      <w:pPr>
        <w:ind w:left="890" w:hanging="780"/>
      </w:pPr>
      <w:rPr>
        <w:rFonts w:ascii="Times New Roman" w:eastAsia="Times New Roman" w:hAnsi="Times New Roman" w:cs="Times New Roman" w:hint="default"/>
        <w:b/>
        <w:bCs/>
        <w:spacing w:val="-1"/>
        <w:w w:val="100"/>
        <w:sz w:val="24"/>
        <w:szCs w:val="24"/>
      </w:rPr>
    </w:lvl>
    <w:lvl w:ilvl="3">
      <w:numFmt w:val="bullet"/>
      <w:lvlText w:val=""/>
      <w:lvlJc w:val="left"/>
      <w:pPr>
        <w:ind w:left="1460" w:hanging="360"/>
      </w:pPr>
      <w:rPr>
        <w:rFonts w:ascii="Symbol" w:eastAsia="Symbol" w:hAnsi="Symbol" w:cs="Symbol" w:hint="default"/>
        <w:w w:val="100"/>
        <w:sz w:val="20"/>
        <w:szCs w:val="20"/>
      </w:rPr>
    </w:lvl>
    <w:lvl w:ilvl="4">
      <w:numFmt w:val="bullet"/>
      <w:lvlText w:val="•"/>
      <w:lvlJc w:val="left"/>
      <w:pPr>
        <w:ind w:left="4220" w:hanging="360"/>
      </w:pPr>
      <w:rPr>
        <w:rFonts w:hint="default"/>
      </w:rPr>
    </w:lvl>
    <w:lvl w:ilvl="5">
      <w:numFmt w:val="bullet"/>
      <w:lvlText w:val="•"/>
      <w:lvlJc w:val="left"/>
      <w:pPr>
        <w:ind w:left="5140" w:hanging="360"/>
      </w:pPr>
      <w:rPr>
        <w:rFonts w:hint="default"/>
      </w:rPr>
    </w:lvl>
    <w:lvl w:ilvl="6">
      <w:numFmt w:val="bullet"/>
      <w:lvlText w:val="•"/>
      <w:lvlJc w:val="left"/>
      <w:pPr>
        <w:ind w:left="6060" w:hanging="360"/>
      </w:pPr>
      <w:rPr>
        <w:rFonts w:hint="default"/>
      </w:rPr>
    </w:lvl>
    <w:lvl w:ilvl="7">
      <w:numFmt w:val="bullet"/>
      <w:lvlText w:val="•"/>
      <w:lvlJc w:val="left"/>
      <w:pPr>
        <w:ind w:left="6980" w:hanging="360"/>
      </w:pPr>
      <w:rPr>
        <w:rFonts w:hint="default"/>
      </w:rPr>
    </w:lvl>
    <w:lvl w:ilvl="8">
      <w:numFmt w:val="bullet"/>
      <w:lvlText w:val="•"/>
      <w:lvlJc w:val="left"/>
      <w:pPr>
        <w:ind w:left="7900" w:hanging="360"/>
      </w:pPr>
      <w:rPr>
        <w:rFonts w:hint="default"/>
      </w:rPr>
    </w:lvl>
  </w:abstractNum>
  <w:abstractNum w:abstractNumId="5" w15:restartNumberingAfterBreak="0">
    <w:nsid w:val="2F27396B"/>
    <w:multiLevelType w:val="hybridMultilevel"/>
    <w:tmpl w:val="0CBE40A0"/>
    <w:lvl w:ilvl="0" w:tplc="7EC26A1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746E6"/>
    <w:multiLevelType w:val="hybridMultilevel"/>
    <w:tmpl w:val="5B541174"/>
    <w:lvl w:ilvl="0" w:tplc="7EC26A1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A564E"/>
    <w:multiLevelType w:val="hybridMultilevel"/>
    <w:tmpl w:val="C590B0C2"/>
    <w:lvl w:ilvl="0" w:tplc="D3063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1"/>
  </w:num>
  <w:num w:numId="6">
    <w:abstractNumId w:val="4"/>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EB"/>
    <w:rsid w:val="00014CEA"/>
    <w:rsid w:val="00047839"/>
    <w:rsid w:val="0012772B"/>
    <w:rsid w:val="00136E21"/>
    <w:rsid w:val="0019323B"/>
    <w:rsid w:val="00212B4E"/>
    <w:rsid w:val="00225E55"/>
    <w:rsid w:val="0027072E"/>
    <w:rsid w:val="00327D3A"/>
    <w:rsid w:val="0038074F"/>
    <w:rsid w:val="003D72C8"/>
    <w:rsid w:val="004430D7"/>
    <w:rsid w:val="005263D8"/>
    <w:rsid w:val="005643AE"/>
    <w:rsid w:val="0057783D"/>
    <w:rsid w:val="005C02BF"/>
    <w:rsid w:val="005C688D"/>
    <w:rsid w:val="005E4BA0"/>
    <w:rsid w:val="00640813"/>
    <w:rsid w:val="00642D05"/>
    <w:rsid w:val="00646698"/>
    <w:rsid w:val="006F668C"/>
    <w:rsid w:val="007309D5"/>
    <w:rsid w:val="007C6992"/>
    <w:rsid w:val="008273FB"/>
    <w:rsid w:val="008E209A"/>
    <w:rsid w:val="00A75494"/>
    <w:rsid w:val="00AA2907"/>
    <w:rsid w:val="00AE14A6"/>
    <w:rsid w:val="00AF6812"/>
    <w:rsid w:val="00B4464C"/>
    <w:rsid w:val="00B63D97"/>
    <w:rsid w:val="00B732DE"/>
    <w:rsid w:val="00BB0EA9"/>
    <w:rsid w:val="00BD7E46"/>
    <w:rsid w:val="00BE398F"/>
    <w:rsid w:val="00CA5AE1"/>
    <w:rsid w:val="00CF3213"/>
    <w:rsid w:val="00DB68EB"/>
    <w:rsid w:val="00DE24F3"/>
    <w:rsid w:val="00E006E3"/>
    <w:rsid w:val="00E378F5"/>
    <w:rsid w:val="00EE3968"/>
    <w:rsid w:val="00FA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C35E6"/>
  <w15:chartTrackingRefBased/>
  <w15:docId w15:val="{C0F345B5-B0F4-42BD-892B-2F4FFC02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EB"/>
  </w:style>
  <w:style w:type="paragraph" w:styleId="Heading1">
    <w:name w:val="heading 1"/>
    <w:basedOn w:val="Normal"/>
    <w:next w:val="Normal"/>
    <w:link w:val="Heading1Char"/>
    <w:uiPriority w:val="9"/>
    <w:qFormat/>
    <w:rsid w:val="00DB68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68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68EB"/>
    <w:pPr>
      <w:keepNext/>
      <w:keepLines/>
      <w:spacing w:before="40" w:after="0"/>
      <w:outlineLvl w:val="2"/>
    </w:pPr>
    <w:rPr>
      <w:rFonts w:eastAsiaTheme="majorEastAsia" w:cstheme="majorBidi"/>
      <w:color w:val="2E74B5" w:themeColor="accent1" w:themeShade="BF"/>
      <w:szCs w:val="24"/>
    </w:rPr>
  </w:style>
  <w:style w:type="paragraph" w:styleId="Heading4">
    <w:name w:val="heading 4"/>
    <w:basedOn w:val="Normal"/>
    <w:next w:val="Normal"/>
    <w:link w:val="Heading4Char"/>
    <w:uiPriority w:val="9"/>
    <w:unhideWhenUsed/>
    <w:qFormat/>
    <w:rsid w:val="00DB68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8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68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68EB"/>
    <w:rPr>
      <w:rFonts w:eastAsiaTheme="majorEastAsia" w:cstheme="majorBidi"/>
      <w:color w:val="2E74B5" w:themeColor="accent1" w:themeShade="BF"/>
      <w:szCs w:val="24"/>
    </w:rPr>
  </w:style>
  <w:style w:type="character" w:customStyle="1" w:styleId="Heading4Char">
    <w:name w:val="Heading 4 Char"/>
    <w:basedOn w:val="DefaultParagraphFont"/>
    <w:link w:val="Heading4"/>
    <w:uiPriority w:val="9"/>
    <w:rsid w:val="00DB68E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1"/>
    <w:qFormat/>
    <w:rsid w:val="00DB68EB"/>
    <w:pPr>
      <w:ind w:left="720"/>
      <w:contextualSpacing/>
    </w:pPr>
  </w:style>
  <w:style w:type="table" w:styleId="TableGrid">
    <w:name w:val="Table Grid"/>
    <w:basedOn w:val="TableNormal"/>
    <w:uiPriority w:val="3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8EB"/>
    <w:rPr>
      <w:rFonts w:ascii="Segoe UI" w:hAnsi="Segoe UI" w:cs="Segoe UI"/>
      <w:sz w:val="18"/>
      <w:szCs w:val="18"/>
    </w:rPr>
  </w:style>
  <w:style w:type="table" w:customStyle="1" w:styleId="TableGrid1">
    <w:name w:val="Table Grid1"/>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68EB"/>
    <w:rPr>
      <w:color w:val="0563C1" w:themeColor="hyperlink"/>
      <w:u w:val="single"/>
    </w:rPr>
  </w:style>
  <w:style w:type="paragraph" w:styleId="Header">
    <w:name w:val="header"/>
    <w:basedOn w:val="Normal"/>
    <w:link w:val="HeaderChar"/>
    <w:uiPriority w:val="99"/>
    <w:unhideWhenUsed/>
    <w:rsid w:val="00DB6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8EB"/>
  </w:style>
  <w:style w:type="paragraph" w:styleId="Footer">
    <w:name w:val="footer"/>
    <w:basedOn w:val="Normal"/>
    <w:link w:val="FooterChar"/>
    <w:uiPriority w:val="99"/>
    <w:unhideWhenUsed/>
    <w:rsid w:val="00DB6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8EB"/>
  </w:style>
  <w:style w:type="character" w:styleId="PageNumber">
    <w:name w:val="page number"/>
    <w:basedOn w:val="DefaultParagraphFont"/>
    <w:uiPriority w:val="99"/>
    <w:semiHidden/>
    <w:unhideWhenUsed/>
    <w:rsid w:val="00DB68EB"/>
  </w:style>
  <w:style w:type="table" w:customStyle="1" w:styleId="TableGrid11">
    <w:name w:val="Table Grid11"/>
    <w:basedOn w:val="TableNormal"/>
    <w:next w:val="TableGrid"/>
    <w:uiPriority w:val="59"/>
    <w:rsid w:val="00DB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8E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link w:val="NormalWebChar"/>
    <w:uiPriority w:val="99"/>
    <w:unhideWhenUsed/>
    <w:rsid w:val="00DB68EB"/>
    <w:pPr>
      <w:spacing w:before="100" w:beforeAutospacing="1" w:after="100" w:afterAutospacing="1" w:line="240" w:lineRule="auto"/>
    </w:pPr>
    <w:rPr>
      <w:rFonts w:ascii="Verdana" w:eastAsia="Times New Roman" w:hAnsi="Verdana" w:cs="Times New Roman"/>
      <w:sz w:val="20"/>
      <w:szCs w:val="20"/>
    </w:rPr>
  </w:style>
  <w:style w:type="character" w:customStyle="1" w:styleId="style81">
    <w:name w:val="style81"/>
    <w:basedOn w:val="DefaultParagraphFont"/>
    <w:rsid w:val="00DB68EB"/>
    <w:rPr>
      <w:rFonts w:ascii="Verdana" w:hAnsi="Verdana" w:hint="default"/>
    </w:rPr>
  </w:style>
  <w:style w:type="character" w:styleId="CommentReference">
    <w:name w:val="annotation reference"/>
    <w:basedOn w:val="DefaultParagraphFont"/>
    <w:uiPriority w:val="99"/>
    <w:semiHidden/>
    <w:unhideWhenUsed/>
    <w:rsid w:val="00DB68EB"/>
    <w:rPr>
      <w:sz w:val="16"/>
      <w:szCs w:val="16"/>
    </w:rPr>
  </w:style>
  <w:style w:type="paragraph" w:styleId="CommentText">
    <w:name w:val="annotation text"/>
    <w:basedOn w:val="Normal"/>
    <w:link w:val="CommentTextChar"/>
    <w:uiPriority w:val="99"/>
    <w:semiHidden/>
    <w:unhideWhenUsed/>
    <w:rsid w:val="00DB68EB"/>
    <w:pPr>
      <w:spacing w:line="240" w:lineRule="auto"/>
    </w:pPr>
    <w:rPr>
      <w:sz w:val="20"/>
      <w:szCs w:val="20"/>
    </w:rPr>
  </w:style>
  <w:style w:type="character" w:customStyle="1" w:styleId="CommentTextChar">
    <w:name w:val="Comment Text Char"/>
    <w:basedOn w:val="DefaultParagraphFont"/>
    <w:link w:val="CommentText"/>
    <w:uiPriority w:val="99"/>
    <w:semiHidden/>
    <w:rsid w:val="00DB68EB"/>
    <w:rPr>
      <w:sz w:val="20"/>
      <w:szCs w:val="20"/>
    </w:rPr>
  </w:style>
  <w:style w:type="paragraph" w:styleId="CommentSubject">
    <w:name w:val="annotation subject"/>
    <w:basedOn w:val="CommentText"/>
    <w:next w:val="CommentText"/>
    <w:link w:val="CommentSubjectChar"/>
    <w:uiPriority w:val="99"/>
    <w:semiHidden/>
    <w:unhideWhenUsed/>
    <w:rsid w:val="00DB68EB"/>
    <w:rPr>
      <w:b/>
      <w:bCs/>
    </w:rPr>
  </w:style>
  <w:style w:type="character" w:customStyle="1" w:styleId="CommentSubjectChar">
    <w:name w:val="Comment Subject Char"/>
    <w:basedOn w:val="CommentTextChar"/>
    <w:link w:val="CommentSubject"/>
    <w:uiPriority w:val="99"/>
    <w:semiHidden/>
    <w:rsid w:val="00DB68EB"/>
    <w:rPr>
      <w:b/>
      <w:bCs/>
      <w:sz w:val="20"/>
      <w:szCs w:val="20"/>
    </w:rPr>
  </w:style>
  <w:style w:type="paragraph" w:customStyle="1" w:styleId="DescriptionLangauge">
    <w:name w:val="Description Langauge"/>
    <w:basedOn w:val="NormalWeb"/>
    <w:link w:val="DescriptionLangaugeChar"/>
    <w:qFormat/>
    <w:rsid w:val="00DB68EB"/>
    <w:pPr>
      <w:spacing w:before="0" w:beforeAutospacing="0" w:after="0" w:afterAutospacing="0"/>
    </w:pPr>
    <w:rPr>
      <w:i/>
      <w:lang w:val="en"/>
    </w:rPr>
  </w:style>
  <w:style w:type="character" w:customStyle="1" w:styleId="NormalWebChar">
    <w:name w:val="Normal (Web) Char"/>
    <w:basedOn w:val="DefaultParagraphFont"/>
    <w:link w:val="NormalWeb"/>
    <w:uiPriority w:val="99"/>
    <w:rsid w:val="00DB68EB"/>
    <w:rPr>
      <w:rFonts w:ascii="Verdana" w:eastAsia="Times New Roman" w:hAnsi="Verdana" w:cs="Times New Roman"/>
      <w:sz w:val="20"/>
      <w:szCs w:val="20"/>
    </w:rPr>
  </w:style>
  <w:style w:type="character" w:customStyle="1" w:styleId="DescriptionLangaugeChar">
    <w:name w:val="Description Langauge Char"/>
    <w:basedOn w:val="NormalWebChar"/>
    <w:link w:val="DescriptionLangauge"/>
    <w:rsid w:val="00DB68EB"/>
    <w:rPr>
      <w:rFonts w:ascii="Verdana" w:eastAsia="Times New Roman" w:hAnsi="Verdana" w:cs="Times New Roman"/>
      <w:i/>
      <w:sz w:val="20"/>
      <w:szCs w:val="20"/>
      <w:lang w:val="en"/>
    </w:rPr>
  </w:style>
  <w:style w:type="character" w:styleId="FollowedHyperlink">
    <w:name w:val="FollowedHyperlink"/>
    <w:basedOn w:val="DefaultParagraphFont"/>
    <w:uiPriority w:val="99"/>
    <w:semiHidden/>
    <w:unhideWhenUsed/>
    <w:rsid w:val="00DB68EB"/>
    <w:rPr>
      <w:color w:val="954F72" w:themeColor="followedHyperlink"/>
      <w:u w:val="single"/>
    </w:rPr>
  </w:style>
  <w:style w:type="paragraph" w:styleId="TOCHeading">
    <w:name w:val="TOC Heading"/>
    <w:basedOn w:val="Heading1"/>
    <w:next w:val="Normal"/>
    <w:uiPriority w:val="39"/>
    <w:unhideWhenUsed/>
    <w:qFormat/>
    <w:rsid w:val="00DB68EB"/>
    <w:pPr>
      <w:outlineLvl w:val="9"/>
    </w:pPr>
  </w:style>
  <w:style w:type="paragraph" w:styleId="TOC1">
    <w:name w:val="toc 1"/>
    <w:basedOn w:val="Normal"/>
    <w:next w:val="Normal"/>
    <w:autoRedefine/>
    <w:uiPriority w:val="39"/>
    <w:unhideWhenUsed/>
    <w:rsid w:val="00DB68EB"/>
    <w:pPr>
      <w:spacing w:after="100"/>
    </w:pPr>
  </w:style>
  <w:style w:type="paragraph" w:styleId="TOC3">
    <w:name w:val="toc 3"/>
    <w:basedOn w:val="Normal"/>
    <w:next w:val="Normal"/>
    <w:autoRedefine/>
    <w:uiPriority w:val="39"/>
    <w:unhideWhenUsed/>
    <w:rsid w:val="00DB68EB"/>
    <w:pPr>
      <w:spacing w:after="100"/>
      <w:ind w:left="440"/>
    </w:pPr>
  </w:style>
  <w:style w:type="paragraph" w:styleId="TOC2">
    <w:name w:val="toc 2"/>
    <w:basedOn w:val="Normal"/>
    <w:next w:val="Normal"/>
    <w:autoRedefine/>
    <w:uiPriority w:val="39"/>
    <w:unhideWhenUsed/>
    <w:rsid w:val="00DB68EB"/>
    <w:pPr>
      <w:spacing w:after="100"/>
      <w:ind w:left="220"/>
    </w:pPr>
  </w:style>
  <w:style w:type="paragraph" w:styleId="NoSpacing">
    <w:name w:val="No Spacing"/>
    <w:uiPriority w:val="1"/>
    <w:qFormat/>
    <w:rsid w:val="005C688D"/>
    <w:pPr>
      <w:spacing w:after="0" w:line="240" w:lineRule="auto"/>
    </w:pPr>
  </w:style>
  <w:style w:type="paragraph" w:styleId="BodyText">
    <w:name w:val="Body Text"/>
    <w:basedOn w:val="Normal"/>
    <w:link w:val="BodyTextChar"/>
    <w:uiPriority w:val="1"/>
    <w:qFormat/>
    <w:rsid w:val="00EE3968"/>
    <w:pPr>
      <w:widowControl w:val="0"/>
      <w:autoSpaceDE w:val="0"/>
      <w:autoSpaceDN w:val="0"/>
      <w:spacing w:after="0" w:line="240" w:lineRule="auto"/>
      <w:ind w:left="7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E396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E3968"/>
    <w:pPr>
      <w:widowControl w:val="0"/>
      <w:autoSpaceDE w:val="0"/>
      <w:autoSpaceDN w:val="0"/>
      <w:spacing w:before="42" w:after="0" w:line="240" w:lineRule="auto"/>
      <w:ind w:left="10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lspills101.wa.gov/defining-potentially-non-floating-oil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scat.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lspills101.wa.gov/northwest-area-contingency-plan/geographic-response-plans-grps/list-of-geographic-response-pla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rt10nwac.com/Files/NWACP/2020/Section%209412%20v21.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IIS xmlns="24962fe2-85b7-4f88-abe0-e3b812865b56">No</SPIIS>
    <Other_x0020_Update xmlns="24962fe2-85b7-4f88-abe0-e3b812865b56">Rule Implementation</Other_x0020_Update>
    <Assigned_x0020_To0 xmlns="24962fe2-85b7-4f88-abe0-e3b812865b56">
      <UserInfo>
        <DisplayName>Prater, David (ECY)</DisplayName>
        <AccountId>2771</AccountId>
        <AccountType/>
      </UserInfo>
    </Assigned_x0020_To0>
    <Five_x002d_Year_x0020_Review xmlns="24962fe2-85b7-4f88-abe0-e3b812865b56">
      <Value>Review</Value>
      <Value>Incomplete</Value>
      <Value>Conditional Approval</Value>
    </Five_x002d_Year_x0020_Review>
    <Plan_x0020_Holder_x0020_Type xmlns="24962fe2-85b7-4f88-abe0-e3b812865b56">
      <Value>Facilities</Value>
      <Value>Vessels</Value>
      <Value>Pipelines</Value>
      <Value>Railroads (173-186)</Value>
      <Value>Umbrella Vessel</Value>
      <Value>Integrated</Value>
    </Plan_x0020_Holder_x0020_Type>
    <_dlc_DocId xmlns="23f7b63c-28ca-4f09-8e20-ea03ef5a4833">Z6YZZR5WAEWY-2072711062-84</_dlc_DocId>
    <_dlc_DocIdUrl xmlns="23f7b63c-28ca-4f09-8e20-ea03ef5a4833">
      <Url>http://teams/sites/SPPR/preparedness/pdr/_layouts/15/DocIdRedir.aspx?ID=Z6YZZR5WAEWY-2072711062-84</Url>
      <Description>Z6YZZR5WAEWY-2072711062-84</Description>
    </_dlc_DocIdUrl>
    <Examples xmlns="24962fe2-85b7-4f88-abe0-e3b812865b56">External</Example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4EE532515499543AB505C26085CDB4D" ma:contentTypeVersion="25" ma:contentTypeDescription="Create a new document." ma:contentTypeScope="" ma:versionID="37b5d1e78debed3e356893218914f55f">
  <xsd:schema xmlns:xsd="http://www.w3.org/2001/XMLSchema" xmlns:xs="http://www.w3.org/2001/XMLSchema" xmlns:p="http://schemas.microsoft.com/office/2006/metadata/properties" xmlns:ns2="24962fe2-85b7-4f88-abe0-e3b812865b56" xmlns:ns3="23f7b63c-28ca-4f09-8e20-ea03ef5a4833" targetNamespace="http://schemas.microsoft.com/office/2006/metadata/properties" ma:root="true" ma:fieldsID="90b0045771eaa07b6df47a9d1ee2a9ba" ns2:_="" ns3:_="">
    <xsd:import namespace="24962fe2-85b7-4f88-abe0-e3b812865b56"/>
    <xsd:import namespace="23f7b63c-28ca-4f09-8e20-ea03ef5a4833"/>
    <xsd:element name="properties">
      <xsd:complexType>
        <xsd:sequence>
          <xsd:element name="documentManagement">
            <xsd:complexType>
              <xsd:all>
                <xsd:element ref="ns2:Plan_x0020_Holder_x0020_Type" minOccurs="0"/>
                <xsd:element ref="ns2:Five_x002d_Year_x0020_Review" minOccurs="0"/>
                <xsd:element ref="ns2:Other_x0020_Update" minOccurs="0"/>
                <xsd:element ref="ns2:Assigned_x0020_To0" minOccurs="0"/>
                <xsd:element ref="ns3:SharedWithUsers" minOccurs="0"/>
                <xsd:element ref="ns2:SPIIS" minOccurs="0"/>
                <xsd:element ref="ns3:_dlc_DocId" minOccurs="0"/>
                <xsd:element ref="ns3:_dlc_DocIdUrl" minOccurs="0"/>
                <xsd:element ref="ns3:_dlc_DocIdPersistId" minOccurs="0"/>
                <xsd:element ref="ns3:SharedWithDetails" minOccurs="0"/>
                <xsd:element ref="ns2:Examp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62fe2-85b7-4f88-abe0-e3b812865b56" elementFormDefault="qualified">
    <xsd:import namespace="http://schemas.microsoft.com/office/2006/documentManagement/types"/>
    <xsd:import namespace="http://schemas.microsoft.com/office/infopath/2007/PartnerControls"/>
    <xsd:element name="Plan_x0020_Holder_x0020_Type" ma:index="2" nillable="true" ma:displayName="Plan Holder Type" ma:internalName="Plan_x0020_Holder_x0020_Type" ma:requiredMultiChoice="true">
      <xsd:complexType>
        <xsd:complexContent>
          <xsd:extension base="dms:MultiChoice">
            <xsd:sequence>
              <xsd:element name="Value" maxOccurs="unbounded" minOccurs="0" nillable="true">
                <xsd:simpleType>
                  <xsd:restriction base="dms:Choice">
                    <xsd:enumeration value="Facilities"/>
                    <xsd:enumeration value="Vessels"/>
                    <xsd:enumeration value="Pipelines"/>
                    <xsd:enumeration value="Railroads (173-186)"/>
                    <xsd:enumeration value="Umbrella Vessel"/>
                    <xsd:enumeration value="Integrated"/>
                    <xsd:enumeration value="Class 2 (173-180)"/>
                  </xsd:restriction>
                </xsd:simpleType>
              </xsd:element>
            </xsd:sequence>
          </xsd:extension>
        </xsd:complexContent>
      </xsd:complexType>
    </xsd:element>
    <xsd:element name="Five_x002d_Year_x0020_Review" ma:index="3" nillable="true" ma:displayName="Five-Year Review" ma:internalName="Five_x002d_Year_x0020_Review">
      <xsd:complexType>
        <xsd:complexContent>
          <xsd:extension base="dms:MultiChoice">
            <xsd:sequence>
              <xsd:element name="Value" maxOccurs="unbounded" minOccurs="0" nillable="true">
                <xsd:simpleType>
                  <xsd:restriction base="dms:Choice">
                    <xsd:enumeration value="Review"/>
                    <xsd:enumeration value="Complete"/>
                    <xsd:enumeration value="Incomplete"/>
                    <xsd:enumeration value="Public Comment Period"/>
                    <xsd:enumeration value="Approval"/>
                    <xsd:enumeration value="Conditional Approval"/>
                  </xsd:restriction>
                </xsd:simpleType>
              </xsd:element>
            </xsd:sequence>
          </xsd:extension>
        </xsd:complexContent>
      </xsd:complexType>
    </xsd:element>
    <xsd:element name="Other_x0020_Update" ma:index="4" nillable="true" ma:displayName="Other Update" ma:format="Dropdown" ma:internalName="Other_x0020_Update">
      <xsd:simpleType>
        <xsd:restriction base="dms:Choice">
          <xsd:enumeration value="Annual"/>
          <xsd:enumeration value="Significant Change"/>
          <xsd:enumeration value="Minor"/>
          <xsd:enumeration value="Incident Followup"/>
          <xsd:enumeration value="Rule Implementation"/>
          <xsd:enumeration value="Administrative"/>
        </xsd:restriction>
      </xsd:simpleType>
    </xsd:element>
    <xsd:element name="Assigned_x0020_To0" ma:index="5" nillable="true" ma:displayName="Assigned To"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IS" ma:index="13" nillable="true" ma:displayName="SPIIS" ma:default="No" ma:format="RadioButtons" ma:internalName="SPIIS">
      <xsd:simpleType>
        <xsd:restriction base="dms:Choice">
          <xsd:enumeration value="Yes"/>
          <xsd:enumeration value="No"/>
        </xsd:restriction>
      </xsd:simpleType>
    </xsd:element>
    <xsd:element name="Examples" ma:index="18" nillable="true" ma:displayName="Examples" ma:default="Internal" ma:format="RadioButtons" ma:internalName="Examples">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16C30-7D1D-4B5D-A6C6-76E7CDE8F853}"/>
</file>

<file path=customXml/itemProps2.xml><?xml version="1.0" encoding="utf-8"?>
<ds:datastoreItem xmlns:ds="http://schemas.openxmlformats.org/officeDocument/2006/customXml" ds:itemID="{55DB10CF-5B01-4B32-BD6A-0F3537E6C4B5}"/>
</file>

<file path=customXml/itemProps3.xml><?xml version="1.0" encoding="utf-8"?>
<ds:datastoreItem xmlns:ds="http://schemas.openxmlformats.org/officeDocument/2006/customXml" ds:itemID="{4C325919-63C6-438A-BF08-13726BAA435E}"/>
</file>

<file path=customXml/itemProps4.xml><?xml version="1.0" encoding="utf-8"?>
<ds:datastoreItem xmlns:ds="http://schemas.openxmlformats.org/officeDocument/2006/customXml" ds:itemID="{B9534FBC-52C1-44B1-B861-6F5AF1984419}"/>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Prater, David (ECY)</dc:creator>
  <cp:keywords/>
  <dc:description/>
  <cp:lastModifiedBy>Prater, David (ECY)</cp:lastModifiedBy>
  <cp:revision>2</cp:revision>
  <dcterms:created xsi:type="dcterms:W3CDTF">2021-03-22T23:33:00Z</dcterms:created>
  <dcterms:modified xsi:type="dcterms:W3CDTF">2021-03-22T23:33:00Z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0x010100F4EE532515499543AB505C26085CDB4D</vt:lpwstr>
  </property>
  <property fmtid="{D5CDD505-2E9C-101B-9397-08002B2CF9AE}" pid="3" name="_dlc_DocIdItemGuid">
    <vt:lpwstr>15f678c7-8725-4303-bc51-03c075306f7a</vt:lpwstr>
  </property>
</Properties>
</file>