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7C84" w:rsidRDefault="00BA7C84" w:rsidP="00FC25B5">
      <w:pPr>
        <w:contextualSpacing/>
        <w:rPr>
          <w:rFonts w:asciiTheme="minorHAnsi" w:hAnsiTheme="minorHAnsi"/>
        </w:rPr>
      </w:pPr>
      <w:r>
        <w:rPr>
          <w:rFonts w:asciiTheme="minorHAnsi" w:hAnsiTheme="minorHAnsi"/>
        </w:rPr>
        <w:t>May 11, 2015</w:t>
      </w:r>
    </w:p>
    <w:p w:rsidR="00F331C7" w:rsidRPr="000E16A7" w:rsidRDefault="00F331C7" w:rsidP="00FC25B5">
      <w:pPr>
        <w:contextualSpacing/>
        <w:rPr>
          <w:rFonts w:asciiTheme="minorHAnsi" w:hAnsiTheme="minorHAnsi"/>
        </w:rPr>
      </w:pPr>
      <w:r w:rsidRPr="000E16A7">
        <w:rPr>
          <w:rFonts w:asciiTheme="minorHAnsi" w:hAnsiTheme="minorHAnsi"/>
        </w:rPr>
        <w:t>WAC 173-350</w:t>
      </w:r>
      <w:r w:rsidR="002F2A32">
        <w:rPr>
          <w:rFonts w:asciiTheme="minorHAnsi" w:hAnsiTheme="minorHAnsi"/>
        </w:rPr>
        <w:t>-230</w:t>
      </w:r>
      <w:r w:rsidR="00F65777" w:rsidRPr="000E16A7">
        <w:rPr>
          <w:rFonts w:asciiTheme="minorHAnsi" w:hAnsiTheme="minorHAnsi"/>
        </w:rPr>
        <w:t xml:space="preserve">, </w:t>
      </w:r>
      <w:r w:rsidR="002F2A32">
        <w:rPr>
          <w:rFonts w:asciiTheme="minorHAnsi" w:hAnsiTheme="minorHAnsi"/>
        </w:rPr>
        <w:t>Land Application</w:t>
      </w:r>
      <w:r w:rsidR="00F65777" w:rsidRPr="000E16A7">
        <w:rPr>
          <w:rFonts w:asciiTheme="minorHAnsi" w:hAnsiTheme="minorHAnsi"/>
        </w:rPr>
        <w:t xml:space="preserve"> - </w:t>
      </w:r>
      <w:r w:rsidRPr="000E16A7">
        <w:rPr>
          <w:rFonts w:asciiTheme="minorHAnsi" w:hAnsiTheme="minorHAnsi"/>
        </w:rPr>
        <w:t xml:space="preserve">Workgroup </w:t>
      </w:r>
      <w:r w:rsidR="00BA7C84">
        <w:rPr>
          <w:rFonts w:asciiTheme="minorHAnsi" w:hAnsiTheme="minorHAnsi"/>
        </w:rPr>
        <w:t>Conference Call</w:t>
      </w:r>
    </w:p>
    <w:p w:rsidR="00F331C7" w:rsidRPr="000E16A7" w:rsidRDefault="00F331C7" w:rsidP="00FC25B5">
      <w:pPr>
        <w:contextualSpacing/>
        <w:rPr>
          <w:rFonts w:asciiTheme="minorHAnsi" w:hAnsiTheme="minorHAnsi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548"/>
        <w:gridCol w:w="2160"/>
        <w:gridCol w:w="2880"/>
        <w:gridCol w:w="1710"/>
        <w:gridCol w:w="1566"/>
      </w:tblGrid>
      <w:tr w:rsidR="00F331C7" w:rsidRPr="000E16A7" w:rsidTr="00DB0D4A">
        <w:tc>
          <w:tcPr>
            <w:tcW w:w="1548" w:type="dxa"/>
          </w:tcPr>
          <w:p w:rsidR="00F331C7" w:rsidRPr="000E16A7" w:rsidRDefault="00F331C7" w:rsidP="00FC25B5">
            <w:pPr>
              <w:spacing w:line="228" w:lineRule="auto"/>
              <w:contextualSpacing/>
              <w:jc w:val="center"/>
              <w:rPr>
                <w:rFonts w:asciiTheme="minorHAnsi" w:hAnsiTheme="minorHAnsi"/>
              </w:rPr>
            </w:pPr>
            <w:r w:rsidRPr="000E16A7">
              <w:rPr>
                <w:rFonts w:asciiTheme="minorHAnsi" w:hAnsiTheme="minorHAnsi"/>
              </w:rPr>
              <w:t>Name</w:t>
            </w:r>
          </w:p>
        </w:tc>
        <w:tc>
          <w:tcPr>
            <w:tcW w:w="2160" w:type="dxa"/>
            <w:tcMar>
              <w:left w:w="29" w:type="dxa"/>
              <w:right w:w="29" w:type="dxa"/>
            </w:tcMar>
          </w:tcPr>
          <w:p w:rsidR="00F331C7" w:rsidRPr="000E16A7" w:rsidRDefault="00F331C7" w:rsidP="00FC25B5">
            <w:pPr>
              <w:spacing w:line="228" w:lineRule="auto"/>
              <w:contextualSpacing/>
              <w:jc w:val="center"/>
              <w:rPr>
                <w:rFonts w:asciiTheme="minorHAnsi" w:hAnsiTheme="minorHAnsi"/>
              </w:rPr>
            </w:pPr>
            <w:r w:rsidRPr="000E16A7">
              <w:rPr>
                <w:rFonts w:asciiTheme="minorHAnsi" w:hAnsiTheme="minorHAnsi"/>
              </w:rPr>
              <w:t>Org</w:t>
            </w:r>
          </w:p>
        </w:tc>
        <w:tc>
          <w:tcPr>
            <w:tcW w:w="2880" w:type="dxa"/>
            <w:tcMar>
              <w:left w:w="29" w:type="dxa"/>
              <w:right w:w="29" w:type="dxa"/>
            </w:tcMar>
          </w:tcPr>
          <w:p w:rsidR="00F331C7" w:rsidRPr="000E16A7" w:rsidRDefault="00F331C7" w:rsidP="00FC25B5">
            <w:pPr>
              <w:spacing w:line="228" w:lineRule="auto"/>
              <w:contextualSpacing/>
              <w:jc w:val="center"/>
              <w:rPr>
                <w:rFonts w:asciiTheme="minorHAnsi" w:hAnsiTheme="minorHAnsi"/>
                <w:color w:val="000000" w:themeColor="text1"/>
              </w:rPr>
            </w:pPr>
            <w:r w:rsidRPr="000E16A7">
              <w:rPr>
                <w:rFonts w:asciiTheme="minorHAnsi" w:hAnsiTheme="minorHAnsi"/>
                <w:color w:val="000000" w:themeColor="text1"/>
              </w:rPr>
              <w:t>E-mail</w:t>
            </w:r>
          </w:p>
        </w:tc>
        <w:tc>
          <w:tcPr>
            <w:tcW w:w="1710" w:type="dxa"/>
            <w:tcMar>
              <w:left w:w="29" w:type="dxa"/>
              <w:right w:w="29" w:type="dxa"/>
            </w:tcMar>
          </w:tcPr>
          <w:p w:rsidR="00F331C7" w:rsidRPr="000E16A7" w:rsidRDefault="00F331C7" w:rsidP="00FC25B5">
            <w:pPr>
              <w:spacing w:line="228" w:lineRule="auto"/>
              <w:contextualSpacing/>
              <w:jc w:val="center"/>
              <w:rPr>
                <w:rFonts w:asciiTheme="minorHAnsi" w:hAnsiTheme="minorHAnsi"/>
              </w:rPr>
            </w:pPr>
            <w:r w:rsidRPr="000E16A7">
              <w:rPr>
                <w:rFonts w:asciiTheme="minorHAnsi" w:hAnsiTheme="minorHAnsi"/>
              </w:rPr>
              <w:t>Phone</w:t>
            </w:r>
          </w:p>
        </w:tc>
        <w:tc>
          <w:tcPr>
            <w:tcW w:w="1566" w:type="dxa"/>
          </w:tcPr>
          <w:p w:rsidR="00F331C7" w:rsidRPr="000E16A7" w:rsidRDefault="00F331C7" w:rsidP="00FC25B5">
            <w:pPr>
              <w:spacing w:line="228" w:lineRule="auto"/>
              <w:contextualSpacing/>
              <w:jc w:val="center"/>
              <w:rPr>
                <w:rFonts w:asciiTheme="minorHAnsi" w:hAnsiTheme="minorHAnsi"/>
              </w:rPr>
            </w:pPr>
            <w:r w:rsidRPr="000E16A7">
              <w:rPr>
                <w:rFonts w:asciiTheme="minorHAnsi" w:hAnsiTheme="minorHAnsi"/>
              </w:rPr>
              <w:t>In Attendance</w:t>
            </w:r>
          </w:p>
        </w:tc>
      </w:tr>
      <w:tr w:rsidR="00F331C7" w:rsidRPr="000E16A7" w:rsidTr="00DB0D4A">
        <w:tc>
          <w:tcPr>
            <w:tcW w:w="1548" w:type="dxa"/>
          </w:tcPr>
          <w:p w:rsidR="00F331C7" w:rsidRPr="000E16A7" w:rsidRDefault="00F331C7" w:rsidP="00FC25B5">
            <w:pPr>
              <w:spacing w:line="228" w:lineRule="auto"/>
              <w:contextualSpacing/>
              <w:rPr>
                <w:rFonts w:asciiTheme="minorHAnsi" w:hAnsiTheme="minorHAnsi"/>
                <w:color w:val="000000"/>
              </w:rPr>
            </w:pPr>
            <w:r w:rsidRPr="000E16A7">
              <w:rPr>
                <w:rFonts w:asciiTheme="minorHAnsi" w:hAnsiTheme="minorHAnsi"/>
                <w:color w:val="000000"/>
              </w:rPr>
              <w:t>Marni Solheim</w:t>
            </w:r>
          </w:p>
        </w:tc>
        <w:tc>
          <w:tcPr>
            <w:tcW w:w="2160" w:type="dxa"/>
            <w:tcMar>
              <w:left w:w="29" w:type="dxa"/>
              <w:right w:w="29" w:type="dxa"/>
            </w:tcMar>
          </w:tcPr>
          <w:p w:rsidR="00F331C7" w:rsidRPr="000E16A7" w:rsidRDefault="00F331C7" w:rsidP="00FC25B5">
            <w:pPr>
              <w:spacing w:line="228" w:lineRule="auto"/>
              <w:contextualSpacing/>
              <w:rPr>
                <w:rFonts w:asciiTheme="minorHAnsi" w:hAnsiTheme="minorHAnsi"/>
              </w:rPr>
            </w:pPr>
            <w:r w:rsidRPr="000E16A7">
              <w:rPr>
                <w:rFonts w:asciiTheme="minorHAnsi" w:hAnsiTheme="minorHAnsi"/>
              </w:rPr>
              <w:t>Ecology</w:t>
            </w:r>
            <w:r w:rsidR="00DB0D4A" w:rsidRPr="000E16A7">
              <w:rPr>
                <w:rFonts w:asciiTheme="minorHAnsi" w:hAnsiTheme="minorHAnsi"/>
              </w:rPr>
              <w:t xml:space="preserve"> – W2R</w:t>
            </w:r>
          </w:p>
        </w:tc>
        <w:tc>
          <w:tcPr>
            <w:tcW w:w="2880" w:type="dxa"/>
            <w:tcMar>
              <w:left w:w="29" w:type="dxa"/>
              <w:right w:w="29" w:type="dxa"/>
            </w:tcMar>
          </w:tcPr>
          <w:p w:rsidR="00F331C7" w:rsidRPr="000E16A7" w:rsidRDefault="00F331C7" w:rsidP="00FC25B5">
            <w:pPr>
              <w:spacing w:line="228" w:lineRule="auto"/>
              <w:contextualSpacing/>
              <w:rPr>
                <w:rFonts w:asciiTheme="minorHAnsi" w:hAnsiTheme="minorHAnsi"/>
                <w:color w:val="000000" w:themeColor="text1"/>
              </w:rPr>
            </w:pPr>
            <w:r w:rsidRPr="000E16A7">
              <w:rPr>
                <w:rFonts w:asciiTheme="minorHAnsi" w:hAnsiTheme="minorHAnsi"/>
                <w:color w:val="000000" w:themeColor="text1"/>
              </w:rPr>
              <w:t>marni.solheim@ecy.wa.gov</w:t>
            </w:r>
          </w:p>
        </w:tc>
        <w:tc>
          <w:tcPr>
            <w:tcW w:w="1710" w:type="dxa"/>
            <w:tcMar>
              <w:left w:w="29" w:type="dxa"/>
              <w:right w:w="29" w:type="dxa"/>
            </w:tcMar>
          </w:tcPr>
          <w:p w:rsidR="00F331C7" w:rsidRPr="000E16A7" w:rsidRDefault="00F331C7" w:rsidP="00FC25B5">
            <w:pPr>
              <w:spacing w:line="228" w:lineRule="auto"/>
              <w:contextualSpacing/>
              <w:rPr>
                <w:rFonts w:asciiTheme="minorHAnsi" w:hAnsiTheme="minorHAnsi"/>
              </w:rPr>
            </w:pPr>
            <w:r w:rsidRPr="000E16A7">
              <w:rPr>
                <w:rFonts w:asciiTheme="minorHAnsi" w:hAnsiTheme="minorHAnsi"/>
              </w:rPr>
              <w:t>(509)329-3564</w:t>
            </w:r>
          </w:p>
        </w:tc>
        <w:tc>
          <w:tcPr>
            <w:tcW w:w="1566" w:type="dxa"/>
          </w:tcPr>
          <w:p w:rsidR="00F331C7" w:rsidRPr="000E16A7" w:rsidRDefault="001B463D" w:rsidP="00FC25B5">
            <w:pPr>
              <w:spacing w:line="228" w:lineRule="auto"/>
              <w:contextualSpacing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X</w:t>
            </w:r>
          </w:p>
        </w:tc>
      </w:tr>
      <w:tr w:rsidR="00F331C7" w:rsidRPr="000E16A7" w:rsidTr="00DB0D4A">
        <w:tc>
          <w:tcPr>
            <w:tcW w:w="1548" w:type="dxa"/>
          </w:tcPr>
          <w:p w:rsidR="00F331C7" w:rsidRDefault="002A0108" w:rsidP="00FC25B5">
            <w:pPr>
              <w:spacing w:line="228" w:lineRule="auto"/>
              <w:contextualSpacing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 xml:space="preserve">Samantha </w:t>
            </w:r>
            <w:r w:rsidR="00F331C7" w:rsidRPr="000E16A7">
              <w:rPr>
                <w:rFonts w:asciiTheme="minorHAnsi" w:hAnsiTheme="minorHAnsi"/>
                <w:color w:val="000000"/>
              </w:rPr>
              <w:t xml:space="preserve"> </w:t>
            </w:r>
          </w:p>
          <w:p w:rsidR="002A0108" w:rsidRPr="000E16A7" w:rsidRDefault="002A0108" w:rsidP="00FC25B5">
            <w:pPr>
              <w:spacing w:line="228" w:lineRule="auto"/>
              <w:contextualSpacing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Fleischner</w:t>
            </w:r>
          </w:p>
        </w:tc>
        <w:tc>
          <w:tcPr>
            <w:tcW w:w="2160" w:type="dxa"/>
            <w:tcMar>
              <w:left w:w="29" w:type="dxa"/>
              <w:right w:w="29" w:type="dxa"/>
            </w:tcMar>
          </w:tcPr>
          <w:p w:rsidR="00F331C7" w:rsidRPr="000E16A7" w:rsidRDefault="002A0108" w:rsidP="00FC25B5">
            <w:pPr>
              <w:spacing w:line="228" w:lineRule="auto"/>
              <w:contextualSpacing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Washington Organics Recycling Council (WORC)</w:t>
            </w:r>
          </w:p>
        </w:tc>
        <w:tc>
          <w:tcPr>
            <w:tcW w:w="2880" w:type="dxa"/>
            <w:tcMar>
              <w:left w:w="29" w:type="dxa"/>
              <w:right w:w="29" w:type="dxa"/>
            </w:tcMar>
          </w:tcPr>
          <w:p w:rsidR="00F331C7" w:rsidRPr="000E16A7" w:rsidRDefault="002A0108" w:rsidP="00FC25B5">
            <w:pPr>
              <w:spacing w:line="228" w:lineRule="auto"/>
              <w:contextualSpacing/>
              <w:rPr>
                <w:rFonts w:asciiTheme="minorHAnsi" w:hAnsiTheme="minorHAnsi"/>
                <w:color w:val="000000" w:themeColor="text1"/>
              </w:rPr>
            </w:pPr>
            <w:r w:rsidRPr="002A0108">
              <w:rPr>
                <w:rFonts w:asciiTheme="minorHAnsi" w:hAnsiTheme="minorHAnsi"/>
                <w:color w:val="000000" w:themeColor="text1"/>
              </w:rPr>
              <w:t>SamanthaH@WasteConnections.com</w:t>
            </w:r>
          </w:p>
        </w:tc>
        <w:tc>
          <w:tcPr>
            <w:tcW w:w="1710" w:type="dxa"/>
            <w:tcMar>
              <w:left w:w="29" w:type="dxa"/>
              <w:right w:w="29" w:type="dxa"/>
            </w:tcMar>
          </w:tcPr>
          <w:p w:rsidR="00F331C7" w:rsidRPr="000E16A7" w:rsidRDefault="002A0108" w:rsidP="002A0108">
            <w:pPr>
              <w:spacing w:line="228" w:lineRule="auto"/>
              <w:contextualSpacing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(</w:t>
            </w:r>
            <w:r w:rsidRPr="002A0108">
              <w:rPr>
                <w:rFonts w:asciiTheme="minorHAnsi" w:hAnsiTheme="minorHAnsi"/>
                <w:color w:val="000000"/>
              </w:rPr>
              <w:t>360</w:t>
            </w:r>
            <w:r>
              <w:rPr>
                <w:rFonts w:asciiTheme="minorHAnsi" w:hAnsiTheme="minorHAnsi"/>
                <w:color w:val="000000"/>
              </w:rPr>
              <w:t xml:space="preserve">) </w:t>
            </w:r>
            <w:r w:rsidRPr="002A0108">
              <w:rPr>
                <w:rFonts w:asciiTheme="minorHAnsi" w:hAnsiTheme="minorHAnsi"/>
                <w:color w:val="000000"/>
              </w:rPr>
              <w:t>446-7645</w:t>
            </w:r>
          </w:p>
        </w:tc>
        <w:tc>
          <w:tcPr>
            <w:tcW w:w="1566" w:type="dxa"/>
          </w:tcPr>
          <w:p w:rsidR="00F331C7" w:rsidRPr="000E16A7" w:rsidRDefault="001B463D" w:rsidP="00FC25B5">
            <w:pPr>
              <w:spacing w:line="228" w:lineRule="auto"/>
              <w:contextualSpacing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X</w:t>
            </w:r>
          </w:p>
        </w:tc>
      </w:tr>
      <w:tr w:rsidR="00B17F5B" w:rsidRPr="000E16A7" w:rsidTr="00DB0D4A">
        <w:tc>
          <w:tcPr>
            <w:tcW w:w="1548" w:type="dxa"/>
          </w:tcPr>
          <w:p w:rsidR="00B17F5B" w:rsidRDefault="00D87DDF" w:rsidP="00D87DDF">
            <w:pPr>
              <w:contextualSpacing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Pam Barrow</w:t>
            </w:r>
          </w:p>
        </w:tc>
        <w:tc>
          <w:tcPr>
            <w:tcW w:w="2160" w:type="dxa"/>
            <w:tcMar>
              <w:left w:w="29" w:type="dxa"/>
              <w:right w:w="29" w:type="dxa"/>
            </w:tcMar>
          </w:tcPr>
          <w:p w:rsidR="00B17F5B" w:rsidRDefault="00B17F5B" w:rsidP="00FC25B5">
            <w:pPr>
              <w:contextualSpacing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Northwest Food Processors Association</w:t>
            </w:r>
          </w:p>
        </w:tc>
        <w:tc>
          <w:tcPr>
            <w:tcW w:w="2880" w:type="dxa"/>
            <w:tcMar>
              <w:left w:w="29" w:type="dxa"/>
              <w:right w:w="29" w:type="dxa"/>
            </w:tcMar>
          </w:tcPr>
          <w:p w:rsidR="00B17F5B" w:rsidRPr="000E16A7" w:rsidRDefault="00D87DDF" w:rsidP="00FC25B5">
            <w:pPr>
              <w:contextualSpacing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hAnsiTheme="minorHAnsi"/>
                <w:color w:val="000000" w:themeColor="text1"/>
              </w:rPr>
              <w:t>pbarrow</w:t>
            </w:r>
            <w:r w:rsidR="00B17F5B" w:rsidRPr="00B17F5B">
              <w:rPr>
                <w:rFonts w:asciiTheme="minorHAnsi" w:hAnsiTheme="minorHAnsi"/>
                <w:color w:val="000000" w:themeColor="text1"/>
              </w:rPr>
              <w:t>@nwfpa.org</w:t>
            </w:r>
          </w:p>
        </w:tc>
        <w:tc>
          <w:tcPr>
            <w:tcW w:w="1710" w:type="dxa"/>
            <w:tcMar>
              <w:left w:w="29" w:type="dxa"/>
              <w:right w:w="29" w:type="dxa"/>
            </w:tcMar>
          </w:tcPr>
          <w:p w:rsidR="00B17F5B" w:rsidRPr="000E16A7" w:rsidRDefault="00D87DDF" w:rsidP="00FC25B5">
            <w:pPr>
              <w:contextualSpacing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 xml:space="preserve">(503) </w:t>
            </w:r>
            <w:r w:rsidRPr="00D87DDF">
              <w:rPr>
                <w:rFonts w:asciiTheme="minorHAnsi" w:hAnsiTheme="minorHAnsi"/>
                <w:color w:val="000000"/>
              </w:rPr>
              <w:t>327-2205</w:t>
            </w:r>
          </w:p>
        </w:tc>
        <w:tc>
          <w:tcPr>
            <w:tcW w:w="1566" w:type="dxa"/>
          </w:tcPr>
          <w:p w:rsidR="00B17F5B" w:rsidRPr="000E16A7" w:rsidRDefault="001B463D" w:rsidP="00FC25B5">
            <w:pPr>
              <w:contextualSpacing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X</w:t>
            </w:r>
          </w:p>
        </w:tc>
      </w:tr>
      <w:tr w:rsidR="00F331C7" w:rsidRPr="000E16A7" w:rsidTr="00DB0D4A">
        <w:tc>
          <w:tcPr>
            <w:tcW w:w="1548" w:type="dxa"/>
          </w:tcPr>
          <w:p w:rsidR="00F331C7" w:rsidRPr="000E16A7" w:rsidRDefault="00B17F5B" w:rsidP="00FC25B5">
            <w:pPr>
              <w:spacing w:line="228" w:lineRule="auto"/>
              <w:contextualSpacing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Rick Dawson</w:t>
            </w:r>
          </w:p>
        </w:tc>
        <w:tc>
          <w:tcPr>
            <w:tcW w:w="2160" w:type="dxa"/>
            <w:tcMar>
              <w:left w:w="29" w:type="dxa"/>
              <w:right w:w="29" w:type="dxa"/>
            </w:tcMar>
          </w:tcPr>
          <w:p w:rsidR="00F331C7" w:rsidRPr="000E16A7" w:rsidRDefault="00B17F5B" w:rsidP="00FC25B5">
            <w:pPr>
              <w:spacing w:line="228" w:lineRule="auto"/>
              <w:contextualSpacing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Benton-Franklin Health</w:t>
            </w:r>
          </w:p>
        </w:tc>
        <w:tc>
          <w:tcPr>
            <w:tcW w:w="2880" w:type="dxa"/>
            <w:tcMar>
              <w:left w:w="29" w:type="dxa"/>
              <w:right w:w="29" w:type="dxa"/>
            </w:tcMar>
          </w:tcPr>
          <w:p w:rsidR="00F331C7" w:rsidRPr="000E16A7" w:rsidRDefault="00B17F5B" w:rsidP="00FC25B5">
            <w:pPr>
              <w:spacing w:line="228" w:lineRule="auto"/>
              <w:contextualSpacing/>
              <w:rPr>
                <w:rFonts w:asciiTheme="minorHAnsi" w:hAnsiTheme="minorHAnsi"/>
                <w:color w:val="000000" w:themeColor="text1"/>
              </w:rPr>
            </w:pPr>
            <w:r w:rsidRPr="00B17F5B">
              <w:rPr>
                <w:rFonts w:asciiTheme="minorHAnsi" w:hAnsiTheme="minorHAnsi"/>
                <w:color w:val="000000" w:themeColor="text1"/>
              </w:rPr>
              <w:t>rickd@bfhd.wa.gov</w:t>
            </w:r>
          </w:p>
        </w:tc>
        <w:tc>
          <w:tcPr>
            <w:tcW w:w="1710" w:type="dxa"/>
            <w:tcMar>
              <w:left w:w="29" w:type="dxa"/>
              <w:right w:w="29" w:type="dxa"/>
            </w:tcMar>
          </w:tcPr>
          <w:p w:rsidR="00F331C7" w:rsidRPr="000E16A7" w:rsidRDefault="00D87DDF" w:rsidP="00FC25B5">
            <w:pPr>
              <w:spacing w:line="228" w:lineRule="auto"/>
              <w:contextualSpacing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(509) 460-4313</w:t>
            </w:r>
          </w:p>
        </w:tc>
        <w:tc>
          <w:tcPr>
            <w:tcW w:w="1566" w:type="dxa"/>
          </w:tcPr>
          <w:p w:rsidR="00F331C7" w:rsidRPr="000E16A7" w:rsidRDefault="001B463D" w:rsidP="00FC25B5">
            <w:pPr>
              <w:spacing w:line="228" w:lineRule="auto"/>
              <w:contextualSpacing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X</w:t>
            </w:r>
          </w:p>
        </w:tc>
      </w:tr>
      <w:tr w:rsidR="00F331C7" w:rsidRPr="000E16A7" w:rsidTr="00DB0D4A">
        <w:tc>
          <w:tcPr>
            <w:tcW w:w="1548" w:type="dxa"/>
          </w:tcPr>
          <w:p w:rsidR="00F331C7" w:rsidRPr="000E16A7" w:rsidRDefault="00B17F5B" w:rsidP="00FC25B5">
            <w:pPr>
              <w:spacing w:line="228" w:lineRule="auto"/>
              <w:contextualSpacing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Jeff Hegedus</w:t>
            </w:r>
          </w:p>
        </w:tc>
        <w:tc>
          <w:tcPr>
            <w:tcW w:w="2160" w:type="dxa"/>
            <w:tcMar>
              <w:left w:w="29" w:type="dxa"/>
              <w:right w:w="29" w:type="dxa"/>
            </w:tcMar>
          </w:tcPr>
          <w:p w:rsidR="00F331C7" w:rsidRPr="000E16A7" w:rsidRDefault="00B17F5B" w:rsidP="00FC25B5">
            <w:pPr>
              <w:spacing w:line="228" w:lineRule="auto"/>
              <w:contextualSpacing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Whatcom County Health</w:t>
            </w:r>
          </w:p>
        </w:tc>
        <w:tc>
          <w:tcPr>
            <w:tcW w:w="2880" w:type="dxa"/>
            <w:tcMar>
              <w:left w:w="29" w:type="dxa"/>
              <w:right w:w="29" w:type="dxa"/>
            </w:tcMar>
          </w:tcPr>
          <w:p w:rsidR="00F331C7" w:rsidRPr="000E16A7" w:rsidRDefault="00B17F5B" w:rsidP="00FC25B5">
            <w:pPr>
              <w:spacing w:line="228" w:lineRule="auto"/>
              <w:contextualSpacing/>
              <w:rPr>
                <w:rFonts w:asciiTheme="minorHAnsi" w:hAnsiTheme="minorHAnsi"/>
                <w:color w:val="000000" w:themeColor="text1"/>
              </w:rPr>
            </w:pPr>
            <w:r w:rsidRPr="00B17F5B">
              <w:rPr>
                <w:rFonts w:asciiTheme="minorHAnsi" w:hAnsiTheme="minorHAnsi"/>
                <w:color w:val="000000" w:themeColor="text1"/>
              </w:rPr>
              <w:t>jhegedus@co.whatcom.wa.us</w:t>
            </w:r>
          </w:p>
        </w:tc>
        <w:tc>
          <w:tcPr>
            <w:tcW w:w="1710" w:type="dxa"/>
            <w:tcMar>
              <w:left w:w="29" w:type="dxa"/>
              <w:right w:w="29" w:type="dxa"/>
            </w:tcMar>
          </w:tcPr>
          <w:p w:rsidR="00F331C7" w:rsidRPr="000E16A7" w:rsidRDefault="001B463D" w:rsidP="00FC25B5">
            <w:pPr>
              <w:spacing w:line="228" w:lineRule="auto"/>
              <w:contextualSpacing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(360) 676-6724 ext 50895</w:t>
            </w:r>
          </w:p>
        </w:tc>
        <w:tc>
          <w:tcPr>
            <w:tcW w:w="1566" w:type="dxa"/>
          </w:tcPr>
          <w:p w:rsidR="00F331C7" w:rsidRPr="000E16A7" w:rsidRDefault="001B463D" w:rsidP="00FC25B5">
            <w:pPr>
              <w:spacing w:line="228" w:lineRule="auto"/>
              <w:contextualSpacing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X</w:t>
            </w:r>
          </w:p>
        </w:tc>
      </w:tr>
      <w:tr w:rsidR="00F331C7" w:rsidRPr="000E16A7" w:rsidTr="00DB0D4A">
        <w:tc>
          <w:tcPr>
            <w:tcW w:w="9864" w:type="dxa"/>
            <w:gridSpan w:val="5"/>
            <w:tcMar>
              <w:left w:w="29" w:type="dxa"/>
              <w:right w:w="29" w:type="dxa"/>
            </w:tcMar>
          </w:tcPr>
          <w:p w:rsidR="00926DE2" w:rsidRPr="000E16A7" w:rsidRDefault="00926DE2" w:rsidP="00FC25B5">
            <w:pPr>
              <w:spacing w:line="228" w:lineRule="auto"/>
              <w:contextualSpacing/>
              <w:rPr>
                <w:rFonts w:asciiTheme="minorHAnsi" w:hAnsiTheme="minorHAnsi"/>
                <w:color w:val="000000" w:themeColor="text1"/>
              </w:rPr>
            </w:pPr>
          </w:p>
          <w:p w:rsidR="00F331C7" w:rsidRPr="000E16A7" w:rsidRDefault="00F331C7" w:rsidP="00FC25B5">
            <w:pPr>
              <w:spacing w:line="228" w:lineRule="auto"/>
              <w:contextualSpacing/>
              <w:rPr>
                <w:rFonts w:asciiTheme="minorHAnsi" w:hAnsiTheme="minorHAnsi"/>
                <w:color w:val="000000" w:themeColor="text1"/>
              </w:rPr>
            </w:pPr>
            <w:r w:rsidRPr="000E16A7">
              <w:rPr>
                <w:rFonts w:asciiTheme="minorHAnsi" w:hAnsiTheme="minorHAnsi"/>
                <w:color w:val="000000" w:themeColor="text1"/>
              </w:rPr>
              <w:t>Non-Workgroup:</w:t>
            </w:r>
          </w:p>
        </w:tc>
      </w:tr>
      <w:tr w:rsidR="00F331C7" w:rsidRPr="000E16A7" w:rsidTr="00DB0D4A">
        <w:tc>
          <w:tcPr>
            <w:tcW w:w="1548" w:type="dxa"/>
          </w:tcPr>
          <w:p w:rsidR="00F331C7" w:rsidRPr="000E16A7" w:rsidRDefault="002F2A32" w:rsidP="00FC25B5">
            <w:pPr>
              <w:spacing w:line="228" w:lineRule="auto"/>
              <w:contextualSpacing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Tamara Thomas</w:t>
            </w:r>
          </w:p>
        </w:tc>
        <w:tc>
          <w:tcPr>
            <w:tcW w:w="2160" w:type="dxa"/>
            <w:tcMar>
              <w:left w:w="29" w:type="dxa"/>
              <w:right w:w="29" w:type="dxa"/>
            </w:tcMar>
          </w:tcPr>
          <w:p w:rsidR="00F331C7" w:rsidRPr="000E16A7" w:rsidRDefault="002F2A32" w:rsidP="00FC25B5">
            <w:pPr>
              <w:spacing w:line="228" w:lineRule="auto"/>
              <w:contextualSpacing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Terre-Source, LLC</w:t>
            </w:r>
          </w:p>
        </w:tc>
        <w:tc>
          <w:tcPr>
            <w:tcW w:w="2880" w:type="dxa"/>
            <w:tcMar>
              <w:left w:w="29" w:type="dxa"/>
              <w:right w:w="29" w:type="dxa"/>
            </w:tcMar>
          </w:tcPr>
          <w:p w:rsidR="00F331C7" w:rsidRPr="000E16A7" w:rsidRDefault="002503E7" w:rsidP="00FC25B5">
            <w:pPr>
              <w:spacing w:line="228" w:lineRule="auto"/>
              <w:contextualSpacing/>
              <w:rPr>
                <w:rFonts w:asciiTheme="minorHAnsi" w:hAnsiTheme="minorHAnsi"/>
                <w:color w:val="000000" w:themeColor="text1"/>
              </w:rPr>
            </w:pPr>
            <w:r w:rsidRPr="002503E7">
              <w:rPr>
                <w:rFonts w:asciiTheme="minorHAnsi" w:hAnsiTheme="minorHAnsi"/>
                <w:color w:val="000000" w:themeColor="text1"/>
              </w:rPr>
              <w:t>tnthomas@terre-source.com</w:t>
            </w:r>
          </w:p>
        </w:tc>
        <w:tc>
          <w:tcPr>
            <w:tcW w:w="1710" w:type="dxa"/>
            <w:tcMar>
              <w:left w:w="29" w:type="dxa"/>
              <w:right w:w="29" w:type="dxa"/>
            </w:tcMar>
          </w:tcPr>
          <w:p w:rsidR="00F331C7" w:rsidRPr="000E16A7" w:rsidRDefault="001B463D" w:rsidP="001B463D">
            <w:pPr>
              <w:spacing w:line="228" w:lineRule="auto"/>
              <w:contextualSpacing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(360) 336-3536 </w:t>
            </w:r>
          </w:p>
        </w:tc>
        <w:tc>
          <w:tcPr>
            <w:tcW w:w="1566" w:type="dxa"/>
          </w:tcPr>
          <w:p w:rsidR="00F331C7" w:rsidRPr="000E16A7" w:rsidRDefault="001B463D" w:rsidP="00FC25B5">
            <w:pPr>
              <w:spacing w:line="228" w:lineRule="auto"/>
              <w:contextualSpacing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X</w:t>
            </w:r>
          </w:p>
        </w:tc>
      </w:tr>
      <w:tr w:rsidR="001B463D" w:rsidRPr="000E16A7" w:rsidTr="00DB0D4A">
        <w:tc>
          <w:tcPr>
            <w:tcW w:w="1548" w:type="dxa"/>
          </w:tcPr>
          <w:p w:rsidR="001B463D" w:rsidRDefault="001B463D" w:rsidP="00FC25B5">
            <w:pPr>
              <w:contextualSpacing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Josh Monifi</w:t>
            </w:r>
          </w:p>
        </w:tc>
        <w:tc>
          <w:tcPr>
            <w:tcW w:w="2160" w:type="dxa"/>
            <w:tcMar>
              <w:left w:w="29" w:type="dxa"/>
              <w:right w:w="29" w:type="dxa"/>
            </w:tcMar>
          </w:tcPr>
          <w:p w:rsidR="001B463D" w:rsidRDefault="001B463D" w:rsidP="00FC25B5">
            <w:pPr>
              <w:contextualSpacing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color w:val="000000"/>
              </w:rPr>
              <w:t>Northwest Food Processors Association</w:t>
            </w:r>
          </w:p>
        </w:tc>
        <w:tc>
          <w:tcPr>
            <w:tcW w:w="2880" w:type="dxa"/>
            <w:tcMar>
              <w:left w:w="29" w:type="dxa"/>
              <w:right w:w="29" w:type="dxa"/>
            </w:tcMar>
          </w:tcPr>
          <w:p w:rsidR="001B463D" w:rsidRPr="002503E7" w:rsidRDefault="001B463D" w:rsidP="00FC25B5">
            <w:pPr>
              <w:contextualSpacing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hAnsiTheme="minorHAnsi"/>
                <w:color w:val="000000" w:themeColor="text1"/>
              </w:rPr>
              <w:t>jmonifi@nwfpa.org</w:t>
            </w:r>
          </w:p>
        </w:tc>
        <w:tc>
          <w:tcPr>
            <w:tcW w:w="1710" w:type="dxa"/>
            <w:tcMar>
              <w:left w:w="29" w:type="dxa"/>
              <w:right w:w="29" w:type="dxa"/>
            </w:tcMar>
          </w:tcPr>
          <w:p w:rsidR="001B463D" w:rsidRPr="000E16A7" w:rsidRDefault="001B463D" w:rsidP="001B463D">
            <w:pPr>
              <w:contextualSpacing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(503) 327-2213</w:t>
            </w:r>
          </w:p>
        </w:tc>
        <w:tc>
          <w:tcPr>
            <w:tcW w:w="1566" w:type="dxa"/>
          </w:tcPr>
          <w:p w:rsidR="001B463D" w:rsidRDefault="00FF35E1" w:rsidP="00FC25B5">
            <w:pPr>
              <w:contextualSpacing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X</w:t>
            </w:r>
          </w:p>
        </w:tc>
      </w:tr>
    </w:tbl>
    <w:p w:rsidR="00F65777" w:rsidRPr="000E16A7" w:rsidRDefault="00F65777" w:rsidP="00FC25B5">
      <w:pPr>
        <w:contextualSpacing/>
        <w:jc w:val="center"/>
        <w:rPr>
          <w:rFonts w:asciiTheme="minorHAnsi" w:hAnsiTheme="minorHAnsi"/>
          <w:b/>
          <w:u w:val="single"/>
        </w:rPr>
      </w:pPr>
    </w:p>
    <w:p w:rsidR="008D0FA2" w:rsidRDefault="00BA7C84" w:rsidP="00FF35E1">
      <w:pPr>
        <w:jc w:val="center"/>
        <w:rPr>
          <w:rFonts w:asciiTheme="minorHAnsi" w:hAnsiTheme="minorHAnsi"/>
          <w:b/>
          <w:u w:val="single"/>
        </w:rPr>
      </w:pPr>
      <w:r>
        <w:rPr>
          <w:rFonts w:asciiTheme="minorHAnsi" w:hAnsiTheme="minorHAnsi"/>
          <w:b/>
          <w:u w:val="single"/>
        </w:rPr>
        <w:t>Ag</w:t>
      </w:r>
      <w:r w:rsidR="003144FC">
        <w:rPr>
          <w:rFonts w:asciiTheme="minorHAnsi" w:hAnsiTheme="minorHAnsi"/>
          <w:b/>
          <w:u w:val="single"/>
        </w:rPr>
        <w:t>enda</w:t>
      </w:r>
    </w:p>
    <w:p w:rsidR="008D0FA2" w:rsidRDefault="008D0FA2" w:rsidP="008D0FA2">
      <w:pPr>
        <w:rPr>
          <w:rFonts w:asciiTheme="minorHAnsi" w:hAnsiTheme="minorHAnsi" w:cs="Arial"/>
        </w:rPr>
      </w:pPr>
    </w:p>
    <w:p w:rsidR="008D0FA2" w:rsidRDefault="008D0FA2" w:rsidP="008D0FA2">
      <w:pPr>
        <w:rPr>
          <w:rFonts w:asciiTheme="minorHAnsi" w:hAnsiTheme="minorHAnsi" w:cs="Arial"/>
          <w:i/>
        </w:rPr>
      </w:pPr>
      <w:r>
        <w:rPr>
          <w:rFonts w:asciiTheme="minorHAnsi" w:hAnsiTheme="minorHAnsi" w:cs="Arial"/>
        </w:rPr>
        <w:t xml:space="preserve">Bulleted items that are not italicized are comments from the meeting.  </w:t>
      </w:r>
      <w:r>
        <w:rPr>
          <w:rFonts w:asciiTheme="minorHAnsi" w:hAnsiTheme="minorHAnsi" w:cs="Arial"/>
          <w:i/>
        </w:rPr>
        <w:t>Italicized wording represent the issues discussed.</w:t>
      </w:r>
    </w:p>
    <w:p w:rsidR="008D0FA2" w:rsidRDefault="008D0FA2" w:rsidP="008D0FA2">
      <w:pPr>
        <w:rPr>
          <w:rFonts w:asciiTheme="minorHAnsi" w:hAnsiTheme="minorHAnsi" w:cs="Arial"/>
          <w:i/>
        </w:rPr>
      </w:pPr>
    </w:p>
    <w:p w:rsidR="00BA7C84" w:rsidRDefault="00BA7C84" w:rsidP="00BA7C84">
      <w:pPr>
        <w:pStyle w:val="ListParagraph"/>
        <w:numPr>
          <w:ilvl w:val="0"/>
          <w:numId w:val="10"/>
        </w:numPr>
        <w:spacing w:line="240" w:lineRule="auto"/>
        <w:contextualSpacing w:val="0"/>
      </w:pPr>
      <w:r>
        <w:t>Introductions</w:t>
      </w:r>
    </w:p>
    <w:p w:rsidR="00BA7C84" w:rsidRDefault="00BA7C84" w:rsidP="00BA7C84">
      <w:pPr>
        <w:pStyle w:val="ListParagraph"/>
        <w:numPr>
          <w:ilvl w:val="0"/>
          <w:numId w:val="10"/>
        </w:numPr>
        <w:spacing w:line="240" w:lineRule="auto"/>
        <w:contextualSpacing w:val="0"/>
      </w:pPr>
      <w:r>
        <w:t>Overview of rule revision process and timeline</w:t>
      </w:r>
    </w:p>
    <w:p w:rsidR="00BA7C84" w:rsidRDefault="00BA7C84" w:rsidP="00BA7C84">
      <w:pPr>
        <w:pStyle w:val="ListParagraph"/>
        <w:numPr>
          <w:ilvl w:val="0"/>
          <w:numId w:val="10"/>
        </w:numPr>
        <w:spacing w:line="240" w:lineRule="auto"/>
        <w:contextualSpacing w:val="0"/>
      </w:pPr>
      <w:r>
        <w:t>Overview of land application section</w:t>
      </w:r>
    </w:p>
    <w:p w:rsidR="00BA7C84" w:rsidRDefault="00BA7C84" w:rsidP="00BA7C84">
      <w:pPr>
        <w:pStyle w:val="ListParagraph"/>
        <w:numPr>
          <w:ilvl w:val="0"/>
          <w:numId w:val="10"/>
        </w:numPr>
        <w:spacing w:line="240" w:lineRule="auto"/>
        <w:contextualSpacing w:val="0"/>
      </w:pPr>
      <w:r>
        <w:t xml:space="preserve">Initial thoughts on what, if </w:t>
      </w:r>
      <w:r w:rsidR="00B5691A">
        <w:t>anything, should be revised</w:t>
      </w:r>
    </w:p>
    <w:p w:rsidR="00BA7C84" w:rsidRDefault="00BA7C84" w:rsidP="00BA7C84">
      <w:pPr>
        <w:pStyle w:val="ListParagraph"/>
        <w:numPr>
          <w:ilvl w:val="0"/>
          <w:numId w:val="11"/>
        </w:numPr>
        <w:spacing w:line="240" w:lineRule="auto"/>
        <w:contextualSpacing w:val="0"/>
      </w:pPr>
      <w:r>
        <w:t>Beneficial Use Determination vs. oversight under Land App Permit</w:t>
      </w:r>
    </w:p>
    <w:p w:rsidR="00BA7C84" w:rsidRDefault="00BA7C84" w:rsidP="00BA7C84">
      <w:pPr>
        <w:pStyle w:val="ListParagraph"/>
        <w:numPr>
          <w:ilvl w:val="0"/>
          <w:numId w:val="11"/>
        </w:numPr>
        <w:spacing w:line="240" w:lineRule="auto"/>
        <w:contextualSpacing w:val="0"/>
      </w:pPr>
      <w:r>
        <w:t>Information needed for permitting – too much, too little?</w:t>
      </w:r>
    </w:p>
    <w:p w:rsidR="00BA7C84" w:rsidRDefault="00BA7C84" w:rsidP="00BA7C84">
      <w:pPr>
        <w:pStyle w:val="ListParagraph"/>
        <w:numPr>
          <w:ilvl w:val="0"/>
          <w:numId w:val="11"/>
        </w:numPr>
        <w:spacing w:line="240" w:lineRule="auto"/>
        <w:contextualSpacing w:val="0"/>
      </w:pPr>
      <w:r>
        <w:t>Next steps</w:t>
      </w:r>
    </w:p>
    <w:p w:rsidR="00BA7C84" w:rsidRDefault="00BA7C84" w:rsidP="00BA7C84">
      <w:pPr>
        <w:pStyle w:val="ListParagraph"/>
        <w:numPr>
          <w:ilvl w:val="0"/>
          <w:numId w:val="11"/>
        </w:numPr>
        <w:spacing w:line="240" w:lineRule="auto"/>
        <w:contextualSpacing w:val="0"/>
      </w:pPr>
      <w:r>
        <w:t>Set a date and location for a face-to-face meeting, if needed, or conference call.</w:t>
      </w:r>
    </w:p>
    <w:p w:rsidR="00ED16B9" w:rsidRPr="000E16A7" w:rsidRDefault="00ED16B9" w:rsidP="00ED16B9">
      <w:pPr>
        <w:pStyle w:val="ListParagraph"/>
        <w:ind w:left="0"/>
        <w:rPr>
          <w:rFonts w:asciiTheme="minorHAnsi" w:hAnsiTheme="minorHAnsi"/>
        </w:rPr>
      </w:pPr>
      <w:r w:rsidRPr="000E16A7">
        <w:rPr>
          <w:rFonts w:asciiTheme="minorHAnsi" w:hAnsiTheme="minorHAnsi"/>
          <w:i/>
        </w:rPr>
        <w:t>_____________________________________________________________________________________</w:t>
      </w:r>
    </w:p>
    <w:p w:rsidR="00ED16B9" w:rsidRDefault="00ED16B9" w:rsidP="00493061">
      <w:pPr>
        <w:rPr>
          <w:rFonts w:asciiTheme="minorHAnsi" w:hAnsiTheme="minorHAnsi"/>
          <w:b/>
        </w:rPr>
      </w:pPr>
    </w:p>
    <w:p w:rsidR="00BA7C84" w:rsidRPr="00BA7C84" w:rsidRDefault="00BA7C84" w:rsidP="00BA7C84">
      <w:pPr>
        <w:spacing w:line="240" w:lineRule="auto"/>
        <w:rPr>
          <w:b/>
        </w:rPr>
      </w:pPr>
      <w:r w:rsidRPr="00BA7C84">
        <w:rPr>
          <w:b/>
        </w:rPr>
        <w:t>Overview of rule revision process and timeline</w:t>
      </w:r>
    </w:p>
    <w:p w:rsidR="00493061" w:rsidRDefault="00493061" w:rsidP="00493061">
      <w:pPr>
        <w:rPr>
          <w:rFonts w:asciiTheme="minorHAnsi" w:hAnsiTheme="minorHAnsi"/>
          <w:b/>
        </w:rPr>
      </w:pPr>
    </w:p>
    <w:p w:rsidR="00BA7C84" w:rsidRPr="00C44D59" w:rsidRDefault="00142B51" w:rsidP="002449E5">
      <w:pPr>
        <w:pStyle w:val="ListParagraph"/>
        <w:numPr>
          <w:ilvl w:val="0"/>
          <w:numId w:val="14"/>
        </w:numPr>
        <w:ind w:left="1080"/>
        <w:rPr>
          <w:rFonts w:asciiTheme="minorHAnsi" w:hAnsiTheme="minorHAnsi"/>
          <w:i/>
        </w:rPr>
      </w:pPr>
      <w:r w:rsidRPr="00C44D59">
        <w:rPr>
          <w:rFonts w:asciiTheme="minorHAnsi" w:hAnsiTheme="minorHAnsi"/>
          <w:i/>
        </w:rPr>
        <w:t xml:space="preserve">Began </w:t>
      </w:r>
      <w:r w:rsidR="00790375">
        <w:rPr>
          <w:rFonts w:asciiTheme="minorHAnsi" w:hAnsiTheme="minorHAnsi"/>
          <w:i/>
        </w:rPr>
        <w:t xml:space="preserve">whole rule </w:t>
      </w:r>
      <w:r w:rsidRPr="00C44D59">
        <w:rPr>
          <w:rFonts w:asciiTheme="minorHAnsi" w:hAnsiTheme="minorHAnsi"/>
          <w:i/>
        </w:rPr>
        <w:t xml:space="preserve">revision process around April 2014.  </w:t>
      </w:r>
      <w:r w:rsidR="00790375">
        <w:rPr>
          <w:rFonts w:asciiTheme="minorHAnsi" w:hAnsiTheme="minorHAnsi"/>
          <w:i/>
        </w:rPr>
        <w:t>Chapter 173-350 WAC.</w:t>
      </w:r>
    </w:p>
    <w:p w:rsidR="00BA7C84" w:rsidRPr="00C44D59" w:rsidRDefault="00250D52" w:rsidP="002449E5">
      <w:pPr>
        <w:pStyle w:val="ListParagraph"/>
        <w:numPr>
          <w:ilvl w:val="0"/>
          <w:numId w:val="14"/>
        </w:numPr>
        <w:ind w:left="1080"/>
        <w:rPr>
          <w:rFonts w:asciiTheme="minorHAnsi" w:hAnsiTheme="minorHAnsi"/>
          <w:i/>
        </w:rPr>
      </w:pPr>
      <w:r w:rsidRPr="00C44D59">
        <w:rPr>
          <w:rFonts w:asciiTheme="minorHAnsi" w:hAnsiTheme="minorHAnsi"/>
          <w:i/>
        </w:rPr>
        <w:t>Most</w:t>
      </w:r>
      <w:r w:rsidR="00BA7C84" w:rsidRPr="00C44D59">
        <w:rPr>
          <w:rFonts w:asciiTheme="minorHAnsi" w:hAnsiTheme="minorHAnsi"/>
          <w:i/>
        </w:rPr>
        <w:t xml:space="preserve"> sections </w:t>
      </w:r>
      <w:r w:rsidRPr="00C44D59">
        <w:rPr>
          <w:rFonts w:asciiTheme="minorHAnsi" w:hAnsiTheme="minorHAnsi"/>
          <w:i/>
        </w:rPr>
        <w:t>of the rule are in the process of revision.</w:t>
      </w:r>
      <w:r w:rsidR="00790375">
        <w:rPr>
          <w:rFonts w:asciiTheme="minorHAnsi" w:hAnsiTheme="minorHAnsi"/>
          <w:i/>
        </w:rPr>
        <w:t xml:space="preserve">  </w:t>
      </w:r>
      <w:r w:rsidR="00142B51" w:rsidRPr="00C44D59">
        <w:rPr>
          <w:rFonts w:asciiTheme="minorHAnsi" w:hAnsiTheme="minorHAnsi"/>
          <w:i/>
        </w:rPr>
        <w:t xml:space="preserve">Some have workgroups, some do not.  </w:t>
      </w:r>
      <w:r w:rsidR="001E551E" w:rsidRPr="00C44D59">
        <w:rPr>
          <w:rFonts w:asciiTheme="minorHAnsi" w:hAnsiTheme="minorHAnsi"/>
          <w:i/>
        </w:rPr>
        <w:t>Ecology is</w:t>
      </w:r>
      <w:r w:rsidR="00142B51" w:rsidRPr="00C44D59">
        <w:rPr>
          <w:rFonts w:asciiTheme="minorHAnsi" w:hAnsiTheme="minorHAnsi"/>
          <w:i/>
        </w:rPr>
        <w:t xml:space="preserve"> not </w:t>
      </w:r>
      <w:r w:rsidR="001E551E" w:rsidRPr="00C44D59">
        <w:rPr>
          <w:rFonts w:asciiTheme="minorHAnsi" w:hAnsiTheme="minorHAnsi"/>
          <w:i/>
        </w:rPr>
        <w:t>revising</w:t>
      </w:r>
      <w:r w:rsidR="00142B51" w:rsidRPr="00C44D59">
        <w:rPr>
          <w:rFonts w:asciiTheme="minorHAnsi" w:hAnsiTheme="minorHAnsi"/>
          <w:i/>
        </w:rPr>
        <w:t xml:space="preserve"> compost, anaerobic digestion, organic handling sections since revised/created </w:t>
      </w:r>
      <w:r w:rsidR="001E551E" w:rsidRPr="00C44D59">
        <w:rPr>
          <w:rFonts w:asciiTheme="minorHAnsi" w:hAnsiTheme="minorHAnsi"/>
          <w:i/>
        </w:rPr>
        <w:t>those sections recently -  2013</w:t>
      </w:r>
      <w:r w:rsidR="00790375">
        <w:rPr>
          <w:rFonts w:asciiTheme="minorHAnsi" w:hAnsiTheme="minorHAnsi"/>
          <w:i/>
        </w:rPr>
        <w:t>.</w:t>
      </w:r>
    </w:p>
    <w:p w:rsidR="00142B51" w:rsidRPr="00C44D59" w:rsidRDefault="004B747A" w:rsidP="002449E5">
      <w:pPr>
        <w:pStyle w:val="ListParagraph"/>
        <w:numPr>
          <w:ilvl w:val="0"/>
          <w:numId w:val="14"/>
        </w:numPr>
        <w:ind w:left="1080"/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>Need</w:t>
      </w:r>
      <w:r w:rsidR="001E551E" w:rsidRPr="00C44D59">
        <w:rPr>
          <w:rFonts w:asciiTheme="minorHAnsi" w:hAnsiTheme="minorHAnsi"/>
          <w:i/>
        </w:rPr>
        <w:t xml:space="preserve"> </w:t>
      </w:r>
      <w:r w:rsidR="00142B51" w:rsidRPr="00C44D59">
        <w:rPr>
          <w:rFonts w:asciiTheme="minorHAnsi" w:hAnsiTheme="minorHAnsi"/>
          <w:i/>
        </w:rPr>
        <w:t xml:space="preserve">draft </w:t>
      </w:r>
      <w:r>
        <w:rPr>
          <w:rFonts w:asciiTheme="minorHAnsi" w:hAnsiTheme="minorHAnsi"/>
          <w:i/>
        </w:rPr>
        <w:t>language f</w:t>
      </w:r>
      <w:r w:rsidR="001E551E" w:rsidRPr="00C44D59">
        <w:rPr>
          <w:rFonts w:asciiTheme="minorHAnsi" w:hAnsiTheme="minorHAnsi"/>
          <w:i/>
        </w:rPr>
        <w:t>r</w:t>
      </w:r>
      <w:r>
        <w:rPr>
          <w:rFonts w:asciiTheme="minorHAnsi" w:hAnsiTheme="minorHAnsi"/>
          <w:i/>
        </w:rPr>
        <w:t>om this workgroup (and other rule</w:t>
      </w:r>
      <w:r w:rsidR="001E551E" w:rsidRPr="00C44D59">
        <w:rPr>
          <w:rFonts w:asciiTheme="minorHAnsi" w:hAnsiTheme="minorHAnsi"/>
          <w:i/>
        </w:rPr>
        <w:t xml:space="preserve"> section</w:t>
      </w:r>
      <w:r>
        <w:rPr>
          <w:rFonts w:asciiTheme="minorHAnsi" w:hAnsiTheme="minorHAnsi"/>
          <w:i/>
        </w:rPr>
        <w:t>s)</w:t>
      </w:r>
      <w:r w:rsidR="001E551E" w:rsidRPr="00C44D59">
        <w:rPr>
          <w:rFonts w:asciiTheme="minorHAnsi" w:hAnsiTheme="minorHAnsi"/>
          <w:i/>
        </w:rPr>
        <w:t xml:space="preserve"> </w:t>
      </w:r>
      <w:r w:rsidR="00142B51" w:rsidRPr="00C44D59">
        <w:rPr>
          <w:rFonts w:asciiTheme="minorHAnsi" w:hAnsiTheme="minorHAnsi"/>
          <w:i/>
        </w:rPr>
        <w:t xml:space="preserve">by either </w:t>
      </w:r>
      <w:r w:rsidR="00142B51" w:rsidRPr="004B747A">
        <w:rPr>
          <w:rFonts w:asciiTheme="minorHAnsi" w:hAnsiTheme="minorHAnsi"/>
          <w:i/>
          <w:u w:val="single"/>
        </w:rPr>
        <w:t>August or December 2015</w:t>
      </w:r>
      <w:r w:rsidR="00142B51" w:rsidRPr="00C44D59">
        <w:rPr>
          <w:rFonts w:asciiTheme="minorHAnsi" w:hAnsiTheme="minorHAnsi"/>
          <w:i/>
        </w:rPr>
        <w:t xml:space="preserve"> for internal review and formatting, prior to going out for informal review.</w:t>
      </w:r>
    </w:p>
    <w:p w:rsidR="00142B51" w:rsidRPr="00C44D59" w:rsidRDefault="00142B51" w:rsidP="002449E5">
      <w:pPr>
        <w:pStyle w:val="ListParagraph"/>
        <w:numPr>
          <w:ilvl w:val="0"/>
          <w:numId w:val="14"/>
        </w:numPr>
        <w:ind w:left="1080"/>
        <w:rPr>
          <w:rFonts w:asciiTheme="minorHAnsi" w:hAnsiTheme="minorHAnsi"/>
          <w:i/>
        </w:rPr>
      </w:pPr>
      <w:r w:rsidRPr="00C44D59">
        <w:rPr>
          <w:rFonts w:asciiTheme="minorHAnsi" w:hAnsiTheme="minorHAnsi"/>
          <w:i/>
        </w:rPr>
        <w:t>Formal public comment July/August 2016, adoption of rule anticipated October 2016.</w:t>
      </w:r>
    </w:p>
    <w:p w:rsidR="00BA7C84" w:rsidRPr="00C44D59" w:rsidRDefault="00250D52" w:rsidP="002449E5">
      <w:pPr>
        <w:pStyle w:val="ListParagraph"/>
        <w:numPr>
          <w:ilvl w:val="0"/>
          <w:numId w:val="14"/>
        </w:numPr>
        <w:ind w:left="1080"/>
        <w:rPr>
          <w:rFonts w:asciiTheme="minorHAnsi" w:hAnsiTheme="minorHAnsi"/>
          <w:i/>
        </w:rPr>
      </w:pPr>
      <w:r w:rsidRPr="00C44D59">
        <w:rPr>
          <w:rFonts w:asciiTheme="minorHAnsi" w:hAnsiTheme="minorHAnsi"/>
          <w:i/>
        </w:rPr>
        <w:t xml:space="preserve">Marni will coordinate </w:t>
      </w:r>
      <w:r w:rsidR="00BA7C84" w:rsidRPr="00C44D59">
        <w:rPr>
          <w:rFonts w:asciiTheme="minorHAnsi" w:hAnsiTheme="minorHAnsi"/>
          <w:i/>
        </w:rPr>
        <w:t>with other sections</w:t>
      </w:r>
      <w:r w:rsidRPr="00C44D59">
        <w:rPr>
          <w:rFonts w:asciiTheme="minorHAnsi" w:hAnsiTheme="minorHAnsi"/>
          <w:i/>
        </w:rPr>
        <w:t>, such as pile</w:t>
      </w:r>
      <w:r w:rsidR="001E551E" w:rsidRPr="00C44D59">
        <w:rPr>
          <w:rFonts w:asciiTheme="minorHAnsi" w:hAnsiTheme="minorHAnsi"/>
          <w:i/>
        </w:rPr>
        <w:t xml:space="preserve"> </w:t>
      </w:r>
      <w:r w:rsidRPr="00C44D59">
        <w:rPr>
          <w:rFonts w:asciiTheme="minorHAnsi" w:hAnsiTheme="minorHAnsi"/>
          <w:i/>
        </w:rPr>
        <w:t>s</w:t>
      </w:r>
      <w:r w:rsidR="001E551E" w:rsidRPr="00C44D59">
        <w:rPr>
          <w:rFonts w:asciiTheme="minorHAnsi" w:hAnsiTheme="minorHAnsi"/>
          <w:i/>
        </w:rPr>
        <w:t>torage</w:t>
      </w:r>
      <w:r w:rsidR="002532F0" w:rsidRPr="00C44D59">
        <w:rPr>
          <w:rFonts w:asciiTheme="minorHAnsi" w:hAnsiTheme="minorHAnsi"/>
          <w:i/>
        </w:rPr>
        <w:t>,</w:t>
      </w:r>
      <w:r w:rsidR="001E551E" w:rsidRPr="00C44D59">
        <w:rPr>
          <w:rFonts w:asciiTheme="minorHAnsi" w:hAnsiTheme="minorHAnsi"/>
          <w:i/>
        </w:rPr>
        <w:t xml:space="preserve"> beneficial use determination</w:t>
      </w:r>
      <w:r w:rsidR="002532F0" w:rsidRPr="00C44D59">
        <w:rPr>
          <w:rFonts w:asciiTheme="minorHAnsi" w:hAnsiTheme="minorHAnsi"/>
          <w:i/>
        </w:rPr>
        <w:t>, soils</w:t>
      </w:r>
      <w:r w:rsidRPr="00C44D59">
        <w:rPr>
          <w:rFonts w:asciiTheme="minorHAnsi" w:hAnsiTheme="minorHAnsi"/>
          <w:i/>
        </w:rPr>
        <w:t xml:space="preserve">, </w:t>
      </w:r>
      <w:r w:rsidR="001E551E" w:rsidRPr="00C44D59">
        <w:rPr>
          <w:rFonts w:asciiTheme="minorHAnsi" w:hAnsiTheme="minorHAnsi"/>
          <w:i/>
        </w:rPr>
        <w:t xml:space="preserve"> etc. </w:t>
      </w:r>
      <w:r w:rsidRPr="00C44D59">
        <w:rPr>
          <w:rFonts w:asciiTheme="minorHAnsi" w:hAnsiTheme="minorHAnsi"/>
          <w:i/>
        </w:rPr>
        <w:t xml:space="preserve">to </w:t>
      </w:r>
      <w:r w:rsidR="00142B51" w:rsidRPr="00C44D59">
        <w:rPr>
          <w:rFonts w:asciiTheme="minorHAnsi" w:hAnsiTheme="minorHAnsi"/>
          <w:i/>
        </w:rPr>
        <w:t xml:space="preserve">help </w:t>
      </w:r>
      <w:r w:rsidRPr="00C44D59">
        <w:rPr>
          <w:rFonts w:asciiTheme="minorHAnsi" w:hAnsiTheme="minorHAnsi"/>
          <w:i/>
        </w:rPr>
        <w:t xml:space="preserve">ensure no conflicts/inconsistencies. </w:t>
      </w:r>
    </w:p>
    <w:p w:rsidR="00BA7C84" w:rsidRPr="00C44D59" w:rsidRDefault="001E551E" w:rsidP="002449E5">
      <w:pPr>
        <w:pStyle w:val="ListParagraph"/>
        <w:numPr>
          <w:ilvl w:val="0"/>
          <w:numId w:val="14"/>
        </w:numPr>
        <w:ind w:left="1080"/>
        <w:rPr>
          <w:rFonts w:asciiTheme="minorHAnsi" w:hAnsiTheme="minorHAnsi"/>
          <w:i/>
        </w:rPr>
      </w:pPr>
      <w:r w:rsidRPr="00C44D59">
        <w:rPr>
          <w:rFonts w:asciiTheme="minorHAnsi" w:hAnsiTheme="minorHAnsi"/>
          <w:i/>
        </w:rPr>
        <w:t>T</w:t>
      </w:r>
      <w:r w:rsidR="00142B51" w:rsidRPr="00C44D59">
        <w:rPr>
          <w:rFonts w:asciiTheme="minorHAnsi" w:hAnsiTheme="minorHAnsi"/>
          <w:i/>
        </w:rPr>
        <w:t>his</w:t>
      </w:r>
      <w:r w:rsidR="00BA7C84" w:rsidRPr="00C44D59">
        <w:rPr>
          <w:rFonts w:asciiTheme="minorHAnsi" w:hAnsiTheme="minorHAnsi"/>
          <w:i/>
        </w:rPr>
        <w:t xml:space="preserve"> </w:t>
      </w:r>
      <w:r w:rsidR="002532F0" w:rsidRPr="00C44D59">
        <w:rPr>
          <w:rFonts w:asciiTheme="minorHAnsi" w:hAnsiTheme="minorHAnsi"/>
          <w:i/>
        </w:rPr>
        <w:t xml:space="preserve">workgroup </w:t>
      </w:r>
      <w:r w:rsidR="00BA7C84" w:rsidRPr="00C44D59">
        <w:rPr>
          <w:rFonts w:asciiTheme="minorHAnsi" w:hAnsiTheme="minorHAnsi"/>
          <w:i/>
        </w:rPr>
        <w:t xml:space="preserve">will </w:t>
      </w:r>
      <w:r w:rsidRPr="00C44D59">
        <w:rPr>
          <w:rFonts w:asciiTheme="minorHAnsi" w:hAnsiTheme="minorHAnsi"/>
          <w:i/>
        </w:rPr>
        <w:t xml:space="preserve">likely </w:t>
      </w:r>
      <w:r w:rsidR="00BA7C84" w:rsidRPr="00C44D59">
        <w:rPr>
          <w:rFonts w:asciiTheme="minorHAnsi" w:hAnsiTheme="minorHAnsi"/>
          <w:i/>
        </w:rPr>
        <w:t xml:space="preserve">not </w:t>
      </w:r>
      <w:r w:rsidRPr="00C44D59">
        <w:rPr>
          <w:rFonts w:asciiTheme="minorHAnsi" w:hAnsiTheme="minorHAnsi"/>
          <w:i/>
        </w:rPr>
        <w:t>produce</w:t>
      </w:r>
      <w:r w:rsidR="00BA7C84" w:rsidRPr="00C44D59">
        <w:rPr>
          <w:rFonts w:asciiTheme="minorHAnsi" w:hAnsiTheme="minorHAnsi"/>
          <w:i/>
        </w:rPr>
        <w:t xml:space="preserve"> final</w:t>
      </w:r>
      <w:r w:rsidRPr="00C44D59">
        <w:rPr>
          <w:rFonts w:asciiTheme="minorHAnsi" w:hAnsiTheme="minorHAnsi"/>
          <w:i/>
        </w:rPr>
        <w:t xml:space="preserve"> language</w:t>
      </w:r>
      <w:r w:rsidR="002532F0" w:rsidRPr="00C44D59">
        <w:rPr>
          <w:rFonts w:asciiTheme="minorHAnsi" w:hAnsiTheme="minorHAnsi"/>
          <w:i/>
        </w:rPr>
        <w:t xml:space="preserve">.  </w:t>
      </w:r>
      <w:r w:rsidRPr="00C44D59">
        <w:rPr>
          <w:rFonts w:asciiTheme="minorHAnsi" w:hAnsiTheme="minorHAnsi"/>
          <w:i/>
        </w:rPr>
        <w:t>Expect more changes after</w:t>
      </w:r>
      <w:r w:rsidR="002532F0" w:rsidRPr="00C44D59">
        <w:rPr>
          <w:rFonts w:asciiTheme="minorHAnsi" w:hAnsiTheme="minorHAnsi"/>
          <w:i/>
        </w:rPr>
        <w:t xml:space="preserve"> internal review and in</w:t>
      </w:r>
      <w:r w:rsidRPr="00C44D59">
        <w:rPr>
          <w:rFonts w:asciiTheme="minorHAnsi" w:hAnsiTheme="minorHAnsi"/>
          <w:i/>
        </w:rPr>
        <w:t>formal and formal public review</w:t>
      </w:r>
      <w:r w:rsidR="002532F0" w:rsidRPr="00C44D59">
        <w:rPr>
          <w:rFonts w:asciiTheme="minorHAnsi" w:hAnsiTheme="minorHAnsi"/>
          <w:i/>
        </w:rPr>
        <w:t>.</w:t>
      </w:r>
    </w:p>
    <w:p w:rsidR="00ED16B9" w:rsidRPr="000E16A7" w:rsidRDefault="00ED16B9" w:rsidP="00ED16B9">
      <w:pPr>
        <w:pStyle w:val="ListParagraph"/>
        <w:ind w:left="0"/>
        <w:rPr>
          <w:rFonts w:asciiTheme="minorHAnsi" w:hAnsiTheme="minorHAnsi"/>
        </w:rPr>
      </w:pPr>
      <w:r w:rsidRPr="000E16A7">
        <w:rPr>
          <w:rFonts w:asciiTheme="minorHAnsi" w:hAnsiTheme="minorHAnsi"/>
          <w:i/>
        </w:rPr>
        <w:t>_____________________________________________________________________________________</w:t>
      </w:r>
    </w:p>
    <w:p w:rsidR="00ED16B9" w:rsidRDefault="00ED16B9" w:rsidP="00493061">
      <w:pPr>
        <w:rPr>
          <w:rFonts w:asciiTheme="minorHAnsi" w:hAnsiTheme="minorHAnsi"/>
          <w:b/>
        </w:rPr>
      </w:pPr>
    </w:p>
    <w:p w:rsidR="00BA7C84" w:rsidRPr="00BA7C84" w:rsidRDefault="00BA7C84" w:rsidP="00BA7C84">
      <w:pPr>
        <w:spacing w:line="240" w:lineRule="auto"/>
        <w:rPr>
          <w:b/>
        </w:rPr>
      </w:pPr>
      <w:r w:rsidRPr="00BA7C84">
        <w:rPr>
          <w:b/>
        </w:rPr>
        <w:t>Overview of land application section</w:t>
      </w:r>
    </w:p>
    <w:p w:rsidR="00493061" w:rsidRDefault="00493061" w:rsidP="00493061">
      <w:pPr>
        <w:pStyle w:val="ListParagraph"/>
        <w:rPr>
          <w:rFonts w:asciiTheme="minorHAnsi" w:hAnsiTheme="minorHAnsi"/>
          <w:i/>
        </w:rPr>
      </w:pPr>
    </w:p>
    <w:p w:rsidR="001D5F1F" w:rsidRDefault="006824CD" w:rsidP="002449E5">
      <w:pPr>
        <w:ind w:left="720"/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>The land application section</w:t>
      </w:r>
      <w:r w:rsidR="00095773">
        <w:rPr>
          <w:rFonts w:asciiTheme="minorHAnsi" w:hAnsiTheme="minorHAnsi"/>
          <w:i/>
        </w:rPr>
        <w:t xml:space="preserve"> applies to the </w:t>
      </w:r>
      <w:r w:rsidR="00250D52">
        <w:rPr>
          <w:rFonts w:asciiTheme="minorHAnsi" w:hAnsiTheme="minorHAnsi"/>
          <w:i/>
        </w:rPr>
        <w:t xml:space="preserve">beneficial </w:t>
      </w:r>
      <w:r w:rsidR="001D5F1F">
        <w:rPr>
          <w:rFonts w:asciiTheme="minorHAnsi" w:hAnsiTheme="minorHAnsi"/>
          <w:i/>
        </w:rPr>
        <w:t xml:space="preserve">use of solid waste on the land for </w:t>
      </w:r>
      <w:r w:rsidR="00250D52">
        <w:rPr>
          <w:rFonts w:asciiTheme="minorHAnsi" w:hAnsiTheme="minorHAnsi"/>
          <w:i/>
        </w:rPr>
        <w:t xml:space="preserve">agronomic or soil-amending capability. </w:t>
      </w:r>
      <w:r w:rsidR="00790375">
        <w:rPr>
          <w:rFonts w:asciiTheme="minorHAnsi" w:hAnsiTheme="minorHAnsi"/>
          <w:i/>
        </w:rPr>
        <w:t>Washington has</w:t>
      </w:r>
      <w:r w:rsidR="001D5F1F">
        <w:rPr>
          <w:rFonts w:asciiTheme="minorHAnsi" w:hAnsiTheme="minorHAnsi"/>
          <w:i/>
        </w:rPr>
        <w:t xml:space="preserve"> </w:t>
      </w:r>
      <w:r w:rsidR="00F1260E">
        <w:rPr>
          <w:rFonts w:asciiTheme="minorHAnsi" w:hAnsiTheme="minorHAnsi"/>
          <w:i/>
        </w:rPr>
        <w:t xml:space="preserve">about </w:t>
      </w:r>
      <w:r w:rsidR="001D5F1F">
        <w:rPr>
          <w:rFonts w:asciiTheme="minorHAnsi" w:hAnsiTheme="minorHAnsi"/>
          <w:i/>
        </w:rPr>
        <w:t>15 p</w:t>
      </w:r>
      <w:r>
        <w:rPr>
          <w:rFonts w:asciiTheme="minorHAnsi" w:hAnsiTheme="minorHAnsi"/>
          <w:i/>
        </w:rPr>
        <w:t xml:space="preserve">ermitted </w:t>
      </w:r>
      <w:r w:rsidR="00790375">
        <w:rPr>
          <w:rFonts w:asciiTheme="minorHAnsi" w:hAnsiTheme="minorHAnsi"/>
          <w:i/>
        </w:rPr>
        <w:t xml:space="preserve">land application </w:t>
      </w:r>
      <w:r>
        <w:rPr>
          <w:rFonts w:asciiTheme="minorHAnsi" w:hAnsiTheme="minorHAnsi"/>
          <w:i/>
        </w:rPr>
        <w:t>activities in the state involving f</w:t>
      </w:r>
      <w:r w:rsidR="00250D52">
        <w:rPr>
          <w:rFonts w:asciiTheme="minorHAnsi" w:hAnsiTheme="minorHAnsi"/>
          <w:i/>
        </w:rPr>
        <w:t>ood processors</w:t>
      </w:r>
      <w:r>
        <w:rPr>
          <w:rFonts w:asciiTheme="minorHAnsi" w:hAnsiTheme="minorHAnsi"/>
          <w:i/>
        </w:rPr>
        <w:t xml:space="preserve"> (vegetative and meat/fish/poulty)</w:t>
      </w:r>
      <w:r w:rsidR="00250D52">
        <w:rPr>
          <w:rFonts w:asciiTheme="minorHAnsi" w:hAnsiTheme="minorHAnsi"/>
          <w:i/>
        </w:rPr>
        <w:t xml:space="preserve">, </w:t>
      </w:r>
      <w:r w:rsidR="000A65C6">
        <w:rPr>
          <w:rFonts w:asciiTheme="minorHAnsi" w:hAnsiTheme="minorHAnsi"/>
          <w:i/>
        </w:rPr>
        <w:t xml:space="preserve">industrial </w:t>
      </w:r>
      <w:r>
        <w:rPr>
          <w:rFonts w:asciiTheme="minorHAnsi" w:hAnsiTheme="minorHAnsi"/>
          <w:i/>
        </w:rPr>
        <w:t xml:space="preserve">(food processing) </w:t>
      </w:r>
      <w:r w:rsidR="000A65C6">
        <w:rPr>
          <w:rFonts w:asciiTheme="minorHAnsi" w:hAnsiTheme="minorHAnsi"/>
          <w:i/>
        </w:rPr>
        <w:t xml:space="preserve">wastewater treatment solids, </w:t>
      </w:r>
      <w:r>
        <w:rPr>
          <w:rFonts w:asciiTheme="minorHAnsi" w:hAnsiTheme="minorHAnsi"/>
          <w:i/>
        </w:rPr>
        <w:t>wineries, penitentiary food waste, etc.</w:t>
      </w:r>
    </w:p>
    <w:p w:rsidR="002449E5" w:rsidRDefault="002449E5" w:rsidP="002449E5">
      <w:pPr>
        <w:ind w:left="720"/>
        <w:rPr>
          <w:rFonts w:asciiTheme="minorHAnsi" w:hAnsiTheme="minorHAnsi"/>
          <w:i/>
        </w:rPr>
      </w:pPr>
    </w:p>
    <w:p w:rsidR="00250D52" w:rsidRDefault="00250D52" w:rsidP="002449E5">
      <w:pPr>
        <w:ind w:left="720"/>
        <w:rPr>
          <w:rFonts w:asciiTheme="minorHAnsi" w:hAnsiTheme="minorHAnsi"/>
        </w:rPr>
      </w:pPr>
      <w:r>
        <w:rPr>
          <w:rFonts w:asciiTheme="minorHAnsi" w:hAnsiTheme="minorHAnsi"/>
          <w:i/>
        </w:rPr>
        <w:t xml:space="preserve">To obtain </w:t>
      </w:r>
      <w:r w:rsidR="00790375">
        <w:rPr>
          <w:rFonts w:asciiTheme="minorHAnsi" w:hAnsiTheme="minorHAnsi"/>
          <w:i/>
        </w:rPr>
        <w:t xml:space="preserve">a </w:t>
      </w:r>
      <w:r>
        <w:rPr>
          <w:rFonts w:asciiTheme="minorHAnsi" w:hAnsiTheme="minorHAnsi"/>
          <w:i/>
        </w:rPr>
        <w:t xml:space="preserve">permit, need an operations plan, testing of the material, information on receiving sites, equipment usage and calibration, soil testing, </w:t>
      </w:r>
      <w:r w:rsidR="00517ACD">
        <w:rPr>
          <w:rFonts w:asciiTheme="minorHAnsi" w:hAnsiTheme="minorHAnsi"/>
          <w:i/>
        </w:rPr>
        <w:t xml:space="preserve">spill plans, </w:t>
      </w:r>
      <w:r>
        <w:rPr>
          <w:rFonts w:asciiTheme="minorHAnsi" w:hAnsiTheme="minorHAnsi"/>
          <w:i/>
        </w:rPr>
        <w:t>etc.</w:t>
      </w:r>
    </w:p>
    <w:p w:rsidR="00ED16B9" w:rsidRPr="000E16A7" w:rsidRDefault="00ED16B9" w:rsidP="00ED16B9">
      <w:pPr>
        <w:pStyle w:val="ListParagraph"/>
        <w:ind w:left="0"/>
        <w:rPr>
          <w:rFonts w:asciiTheme="minorHAnsi" w:hAnsiTheme="minorHAnsi"/>
        </w:rPr>
      </w:pPr>
      <w:r w:rsidRPr="000E16A7">
        <w:rPr>
          <w:rFonts w:asciiTheme="minorHAnsi" w:hAnsiTheme="minorHAnsi"/>
          <w:i/>
        </w:rPr>
        <w:t>_____________________________________________________________________________________</w:t>
      </w:r>
    </w:p>
    <w:p w:rsidR="00ED16B9" w:rsidRDefault="00ED16B9" w:rsidP="00493061">
      <w:pPr>
        <w:rPr>
          <w:rFonts w:asciiTheme="minorHAnsi" w:hAnsiTheme="minorHAnsi"/>
          <w:b/>
        </w:rPr>
      </w:pPr>
    </w:p>
    <w:p w:rsidR="00BA7C84" w:rsidRDefault="00BA7C84" w:rsidP="00BA7C84">
      <w:pPr>
        <w:spacing w:line="240" w:lineRule="auto"/>
        <w:rPr>
          <w:b/>
        </w:rPr>
      </w:pPr>
      <w:r w:rsidRPr="00BA7C84">
        <w:rPr>
          <w:b/>
        </w:rPr>
        <w:t>Initial thoughts on what,</w:t>
      </w:r>
      <w:r>
        <w:rPr>
          <w:b/>
        </w:rPr>
        <w:t xml:space="preserve"> if anything, should be revised</w:t>
      </w:r>
    </w:p>
    <w:p w:rsidR="00BA7C84" w:rsidRDefault="00BA7C84" w:rsidP="00BA7C84">
      <w:pPr>
        <w:spacing w:line="240" w:lineRule="auto"/>
        <w:rPr>
          <w:b/>
        </w:rPr>
      </w:pPr>
    </w:p>
    <w:p w:rsidR="006824CD" w:rsidRDefault="006824CD" w:rsidP="006824CD">
      <w:pPr>
        <w:pStyle w:val="ListParagraph"/>
        <w:numPr>
          <w:ilvl w:val="0"/>
          <w:numId w:val="15"/>
        </w:numPr>
        <w:spacing w:line="240" w:lineRule="auto"/>
      </w:pPr>
      <w:r>
        <w:t>Keep revisions minimal.  The section seems to work okay right now.  No need for major overhaul.</w:t>
      </w:r>
    </w:p>
    <w:p w:rsidR="006824CD" w:rsidRDefault="006824CD" w:rsidP="006824CD">
      <w:pPr>
        <w:pStyle w:val="ListParagraph"/>
        <w:numPr>
          <w:ilvl w:val="0"/>
          <w:numId w:val="15"/>
        </w:numPr>
        <w:spacing w:line="240" w:lineRule="auto"/>
      </w:pPr>
      <w:r>
        <w:t xml:space="preserve">Simplify the section where possible.  </w:t>
      </w:r>
    </w:p>
    <w:p w:rsidR="00E72A26" w:rsidRDefault="006824CD" w:rsidP="006824CD">
      <w:pPr>
        <w:pStyle w:val="ListParagraph"/>
        <w:numPr>
          <w:ilvl w:val="0"/>
          <w:numId w:val="15"/>
        </w:numPr>
        <w:spacing w:line="240" w:lineRule="auto"/>
      </w:pPr>
      <w:r>
        <w:t>Discussed idea of conditionally exempting agronomic applicat</w:t>
      </w:r>
      <w:r w:rsidR="00E72A26">
        <w:t>ion of any vegetative material.  Consensus was against this.  There is a need for oversight of operations, to at least ensure operators put thought into calculating rates of application, cropping,</w:t>
      </w:r>
      <w:r w:rsidR="0034666C">
        <w:t xml:space="preserve"> timing, </w:t>
      </w:r>
      <w:r w:rsidR="00E72A26">
        <w:t>application itself, etc.</w:t>
      </w:r>
    </w:p>
    <w:p w:rsidR="00E72A26" w:rsidRDefault="00E72A26" w:rsidP="00E72A26">
      <w:pPr>
        <w:pStyle w:val="ListParagraph"/>
        <w:numPr>
          <w:ilvl w:val="0"/>
          <w:numId w:val="15"/>
        </w:numPr>
        <w:spacing w:line="240" w:lineRule="auto"/>
      </w:pPr>
      <w:r>
        <w:t>Marni brought up the fact that many small communities collect yard waste and chip/grind it for take-back by residents.  Ecology has funded many of these activities through alternative-to-burn programs.  Technically, the use of ground yard waste requires permitting, though no jurisdiction is enforcing this.  Do we want to provide a conditional exemption for these activities (based on size, other )?  Yes, provide exemption.</w:t>
      </w:r>
      <w:r w:rsidR="0034666C">
        <w:t xml:space="preserve">  The rule already provides an exclusion for use of wood waste in landscaping.</w:t>
      </w:r>
    </w:p>
    <w:p w:rsidR="00E72A26" w:rsidRDefault="00E72A26" w:rsidP="006824CD">
      <w:pPr>
        <w:pStyle w:val="ListParagraph"/>
        <w:numPr>
          <w:ilvl w:val="0"/>
          <w:numId w:val="15"/>
        </w:numPr>
        <w:spacing w:line="240" w:lineRule="auto"/>
      </w:pPr>
      <w:r>
        <w:t xml:space="preserve">Marni brought up the idea of a conditional exemption for on-farm processing followed by land application (vegetative only).  This could apply to some wineries, mint producers.  Composting rules provide several exemptions for on-farm operations.  The workgroup did not feel like </w:t>
      </w:r>
      <w:r w:rsidR="00834ABF">
        <w:t>this</w:t>
      </w:r>
      <w:r>
        <w:t xml:space="preserve"> exemption would apply to many activities, if any, but was okay with drafting an exemption to see how it would look.</w:t>
      </w:r>
    </w:p>
    <w:p w:rsidR="00E72A26" w:rsidRDefault="00E72A26" w:rsidP="006824CD">
      <w:pPr>
        <w:pStyle w:val="ListParagraph"/>
        <w:numPr>
          <w:ilvl w:val="0"/>
          <w:numId w:val="15"/>
        </w:numPr>
        <w:spacing w:line="240" w:lineRule="auto"/>
      </w:pPr>
      <w:r>
        <w:t>Marni brought up the idea of a conditional exemption for farmers who take-back from food processors they use</w:t>
      </w:r>
      <w:r w:rsidR="000E1BD7">
        <w:t xml:space="preserve"> (“return to farm”)</w:t>
      </w:r>
      <w:r>
        <w:t xml:space="preserve">.  For example, </w:t>
      </w:r>
      <w:r w:rsidR="00834ABF">
        <w:t>vineyards</w:t>
      </w:r>
      <w:r>
        <w:t xml:space="preserve"> </w:t>
      </w:r>
      <w:r w:rsidR="00834ABF">
        <w:t>send their grapes off-site for processing</w:t>
      </w:r>
      <w:r>
        <w:t xml:space="preserve">, but land apply resulting pomace from the processor.  The workgroup did not feel like </w:t>
      </w:r>
      <w:r w:rsidR="00834ABF">
        <w:t>this</w:t>
      </w:r>
      <w:r>
        <w:t xml:space="preserve"> exemption would ap</w:t>
      </w:r>
      <w:r w:rsidR="00834ABF">
        <w:t>ply to many activities and the consensus was to not pursue an exemption for this.</w:t>
      </w:r>
    </w:p>
    <w:p w:rsidR="00834ABF" w:rsidRDefault="000E1BD7" w:rsidP="006824CD">
      <w:pPr>
        <w:pStyle w:val="ListParagraph"/>
        <w:numPr>
          <w:ilvl w:val="0"/>
          <w:numId w:val="15"/>
        </w:numPr>
        <w:spacing w:line="240" w:lineRule="auto"/>
      </w:pPr>
      <w:r>
        <w:t>The agronomic application of manure and</w:t>
      </w:r>
      <w:r w:rsidR="00C63030" w:rsidRPr="000E1BD7">
        <w:t xml:space="preserve"> crop </w:t>
      </w:r>
      <w:r>
        <w:t xml:space="preserve">residue is currently excluded in the Applicability section of WAC 173-350-020.  Because statutory authorities allow only permit or condition exemption, any such exclusions will be moved to appropriate sections.  In this case, we will provide a conditional exemption in the Land App section to address manure and crop residue. </w:t>
      </w:r>
    </w:p>
    <w:p w:rsidR="004F678C" w:rsidRDefault="00CC07AF" w:rsidP="006824CD">
      <w:pPr>
        <w:pStyle w:val="ListParagraph"/>
        <w:numPr>
          <w:ilvl w:val="0"/>
          <w:numId w:val="15"/>
        </w:numPr>
        <w:spacing w:line="240" w:lineRule="auto"/>
      </w:pPr>
      <w:r>
        <w:t>As a condition for an exemption, include as a condition documentation for how an operator arrived at</w:t>
      </w:r>
      <w:r w:rsidR="005D39C7">
        <w:t xml:space="preserve"> an</w:t>
      </w:r>
      <w:r>
        <w:t xml:space="preserve"> agronomic rate.</w:t>
      </w:r>
    </w:p>
    <w:p w:rsidR="004F678C" w:rsidRDefault="00B5691A" w:rsidP="00B5691A">
      <w:pPr>
        <w:pStyle w:val="ListParagraph"/>
        <w:numPr>
          <w:ilvl w:val="0"/>
          <w:numId w:val="15"/>
        </w:numPr>
        <w:spacing w:line="240" w:lineRule="auto"/>
      </w:pPr>
      <w:r w:rsidRPr="00B5691A">
        <w:t>Regarding storage, a permitted land application operation is allowed to store a year’s worth of material at the application site for up to a year, with non-prescripive requirements for protecting the environment and preventing combustion.</w:t>
      </w:r>
      <w:r>
        <w:t xml:space="preserve">  Do we want to change anything here?  No.  </w:t>
      </w:r>
    </w:p>
    <w:p w:rsidR="00B5691A" w:rsidRPr="00B5691A" w:rsidRDefault="004F678C" w:rsidP="004F678C">
      <w:pPr>
        <w:pStyle w:val="ListParagraph"/>
        <w:numPr>
          <w:ilvl w:val="1"/>
          <w:numId w:val="15"/>
        </w:numPr>
        <w:spacing w:line="240" w:lineRule="auto"/>
      </w:pPr>
      <w:r>
        <w:t>There is conflict with the Piles Storage standards, which currently would also apply to storage under a land application permit, but Marni will coordinate with other staff to address this conflict.</w:t>
      </w:r>
    </w:p>
    <w:p w:rsidR="00493061" w:rsidRPr="00493061" w:rsidRDefault="00493061" w:rsidP="00493061">
      <w:pPr>
        <w:pStyle w:val="ListParagraph"/>
        <w:rPr>
          <w:rFonts w:asciiTheme="minorHAnsi" w:hAnsiTheme="minorHAnsi"/>
          <w:i/>
        </w:rPr>
      </w:pPr>
    </w:p>
    <w:p w:rsidR="00ED16B9" w:rsidRPr="000E16A7" w:rsidRDefault="00ED16B9" w:rsidP="00ED16B9">
      <w:pPr>
        <w:pStyle w:val="ListParagraph"/>
        <w:ind w:left="0"/>
        <w:rPr>
          <w:rFonts w:asciiTheme="minorHAnsi" w:hAnsiTheme="minorHAnsi"/>
        </w:rPr>
      </w:pPr>
      <w:r w:rsidRPr="000E16A7">
        <w:rPr>
          <w:rFonts w:asciiTheme="minorHAnsi" w:hAnsiTheme="minorHAnsi"/>
          <w:i/>
        </w:rPr>
        <w:t>_____________________________________________________________________________________</w:t>
      </w:r>
    </w:p>
    <w:p w:rsidR="00ED16B9" w:rsidRDefault="00ED16B9" w:rsidP="002A58F8">
      <w:pPr>
        <w:rPr>
          <w:rFonts w:asciiTheme="minorHAnsi" w:hAnsiTheme="minorHAnsi"/>
          <w:b/>
        </w:rPr>
      </w:pPr>
    </w:p>
    <w:p w:rsidR="00BA7C84" w:rsidRPr="00BA7C84" w:rsidRDefault="00BA7C84" w:rsidP="00BA7C84">
      <w:pPr>
        <w:spacing w:line="240" w:lineRule="auto"/>
        <w:rPr>
          <w:b/>
        </w:rPr>
      </w:pPr>
      <w:r w:rsidRPr="00BA7C84">
        <w:rPr>
          <w:b/>
        </w:rPr>
        <w:t xml:space="preserve">Beneficial Use Determination </w:t>
      </w:r>
      <w:r w:rsidR="00B5691A">
        <w:rPr>
          <w:b/>
        </w:rPr>
        <w:t xml:space="preserve">(BUD) </w:t>
      </w:r>
      <w:r w:rsidRPr="00BA7C84">
        <w:rPr>
          <w:b/>
        </w:rPr>
        <w:t>vs. oversight under Land App Permit</w:t>
      </w:r>
    </w:p>
    <w:p w:rsidR="002A58F8" w:rsidRDefault="002A58F8" w:rsidP="00742F9B">
      <w:pPr>
        <w:pStyle w:val="ListParagraph"/>
        <w:ind w:left="1080"/>
        <w:rPr>
          <w:rFonts w:asciiTheme="minorHAnsi" w:hAnsiTheme="minorHAnsi"/>
        </w:rPr>
      </w:pPr>
    </w:p>
    <w:p w:rsidR="002A58F8" w:rsidRDefault="00F81DC9" w:rsidP="002A58F8">
      <w:pPr>
        <w:ind w:left="720"/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 xml:space="preserve">Both </w:t>
      </w:r>
      <w:r w:rsidR="00B5691A">
        <w:rPr>
          <w:rFonts w:asciiTheme="minorHAnsi" w:hAnsiTheme="minorHAnsi"/>
          <w:i/>
        </w:rPr>
        <w:t xml:space="preserve">the Land App and BUD sections </w:t>
      </w:r>
      <w:r>
        <w:rPr>
          <w:rFonts w:asciiTheme="minorHAnsi" w:hAnsiTheme="minorHAnsi"/>
          <w:i/>
        </w:rPr>
        <w:t xml:space="preserve">can currently apply to same activity.  BUD is a one-time free application </w:t>
      </w:r>
      <w:r w:rsidR="0034666C">
        <w:rPr>
          <w:rFonts w:asciiTheme="minorHAnsi" w:hAnsiTheme="minorHAnsi"/>
          <w:i/>
        </w:rPr>
        <w:t xml:space="preserve">to Ecology </w:t>
      </w:r>
      <w:r>
        <w:rPr>
          <w:rFonts w:asciiTheme="minorHAnsi" w:hAnsiTheme="minorHAnsi"/>
          <w:i/>
        </w:rPr>
        <w:t xml:space="preserve">for a statewide </w:t>
      </w:r>
      <w:r w:rsidR="0034666C">
        <w:rPr>
          <w:rFonts w:asciiTheme="minorHAnsi" w:hAnsiTheme="minorHAnsi"/>
          <w:i/>
        </w:rPr>
        <w:t xml:space="preserve">permit </w:t>
      </w:r>
      <w:r>
        <w:rPr>
          <w:rFonts w:asciiTheme="minorHAnsi" w:hAnsiTheme="minorHAnsi"/>
          <w:i/>
        </w:rPr>
        <w:t>exemption</w:t>
      </w:r>
      <w:r w:rsidR="0034666C">
        <w:rPr>
          <w:rFonts w:asciiTheme="minorHAnsi" w:hAnsiTheme="minorHAnsi"/>
          <w:i/>
        </w:rPr>
        <w:t xml:space="preserve">. </w:t>
      </w:r>
      <w:r w:rsidR="00B5691A">
        <w:rPr>
          <w:rFonts w:asciiTheme="minorHAnsi" w:hAnsiTheme="minorHAnsi"/>
          <w:i/>
        </w:rPr>
        <w:t xml:space="preserve"> BUDs have been issued for land application of organic waste at agronomic rates</w:t>
      </w:r>
      <w:r>
        <w:rPr>
          <w:rFonts w:asciiTheme="minorHAnsi" w:hAnsiTheme="minorHAnsi"/>
          <w:i/>
        </w:rPr>
        <w:t xml:space="preserve">.  Is this a problem?  </w:t>
      </w:r>
    </w:p>
    <w:p w:rsidR="00B5691A" w:rsidRDefault="00B5691A" w:rsidP="002A58F8">
      <w:pPr>
        <w:ind w:left="720"/>
        <w:rPr>
          <w:rFonts w:asciiTheme="minorHAnsi" w:hAnsiTheme="minorHAnsi"/>
          <w:i/>
        </w:rPr>
      </w:pPr>
    </w:p>
    <w:p w:rsidR="0034666C" w:rsidRPr="0034666C" w:rsidRDefault="004F678C" w:rsidP="00B5691A">
      <w:pPr>
        <w:pStyle w:val="ListParagraph"/>
        <w:numPr>
          <w:ilvl w:val="0"/>
          <w:numId w:val="16"/>
        </w:numPr>
        <w:rPr>
          <w:rFonts w:asciiTheme="minorHAnsi" w:hAnsiTheme="minorHAnsi"/>
          <w:i/>
        </w:rPr>
      </w:pPr>
      <w:r>
        <w:rPr>
          <w:rFonts w:asciiTheme="minorHAnsi" w:hAnsiTheme="minorHAnsi"/>
        </w:rPr>
        <w:t xml:space="preserve">There is better oversight with permitting under Land App.  Land App permits are site-specific and have required inspections, oversight by locals (jurisdictional health agencies).  BUDs are not site-specific and have very imited oversight by Ecology.   The potential for problems exists and we should try </w:t>
      </w:r>
      <w:r w:rsidR="0084789A">
        <w:rPr>
          <w:rFonts w:asciiTheme="minorHAnsi" w:hAnsiTheme="minorHAnsi"/>
        </w:rPr>
        <w:t xml:space="preserve">to fix this if possible.  </w:t>
      </w:r>
    </w:p>
    <w:p w:rsidR="00B5691A" w:rsidRPr="0084789A" w:rsidRDefault="0084789A" w:rsidP="00B5691A">
      <w:pPr>
        <w:pStyle w:val="ListParagraph"/>
        <w:numPr>
          <w:ilvl w:val="0"/>
          <w:numId w:val="16"/>
        </w:numPr>
        <w:rPr>
          <w:rFonts w:asciiTheme="minorHAnsi" w:hAnsiTheme="minorHAnsi"/>
          <w:i/>
        </w:rPr>
      </w:pPr>
      <w:r>
        <w:rPr>
          <w:rFonts w:asciiTheme="minorHAnsi" w:hAnsiTheme="minorHAnsi"/>
        </w:rPr>
        <w:t>There was concern about eliminating BUD entirely, though Marni said that had not been proposed as</w:t>
      </w:r>
      <w:r w:rsidR="0034666C">
        <w:rPr>
          <w:rFonts w:asciiTheme="minorHAnsi" w:hAnsiTheme="minorHAnsi"/>
        </w:rPr>
        <w:t xml:space="preserve"> part of the overall</w:t>
      </w:r>
      <w:r>
        <w:rPr>
          <w:rFonts w:asciiTheme="minorHAnsi" w:hAnsiTheme="minorHAnsi"/>
        </w:rPr>
        <w:t xml:space="preserve"> revision process.</w:t>
      </w:r>
    </w:p>
    <w:p w:rsidR="00ED16B9" w:rsidRPr="000E16A7" w:rsidRDefault="00ED16B9" w:rsidP="00ED16B9">
      <w:pPr>
        <w:pStyle w:val="ListParagraph"/>
        <w:ind w:left="0"/>
        <w:rPr>
          <w:rFonts w:asciiTheme="minorHAnsi" w:hAnsiTheme="minorHAnsi"/>
        </w:rPr>
      </w:pPr>
      <w:r w:rsidRPr="000E16A7">
        <w:rPr>
          <w:rFonts w:asciiTheme="minorHAnsi" w:hAnsiTheme="minorHAnsi"/>
          <w:i/>
        </w:rPr>
        <w:t>_____________________________________________________________________________________</w:t>
      </w:r>
    </w:p>
    <w:p w:rsidR="00ED16B9" w:rsidRDefault="00ED16B9" w:rsidP="002A58F8">
      <w:pPr>
        <w:rPr>
          <w:rFonts w:asciiTheme="minorHAnsi" w:hAnsiTheme="minorHAnsi"/>
          <w:b/>
        </w:rPr>
      </w:pPr>
    </w:p>
    <w:p w:rsidR="00BA7C84" w:rsidRPr="00BA7C84" w:rsidRDefault="00BA7C84" w:rsidP="00BA7C84">
      <w:pPr>
        <w:spacing w:line="240" w:lineRule="auto"/>
        <w:rPr>
          <w:b/>
        </w:rPr>
      </w:pPr>
      <w:r w:rsidRPr="00BA7C84">
        <w:rPr>
          <w:b/>
        </w:rPr>
        <w:t>Information needed for permitting – too much, too little?</w:t>
      </w:r>
    </w:p>
    <w:p w:rsidR="0084789A" w:rsidRDefault="0084789A" w:rsidP="0084789A">
      <w:pPr>
        <w:ind w:left="720"/>
        <w:rPr>
          <w:rFonts w:asciiTheme="minorHAnsi" w:hAnsiTheme="minorHAnsi"/>
          <w:i/>
        </w:rPr>
      </w:pPr>
    </w:p>
    <w:p w:rsidR="002A58F8" w:rsidRDefault="0084789A" w:rsidP="0084789A">
      <w:pPr>
        <w:ind w:left="720"/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 xml:space="preserve">Marni feels the information needed for obtaining a permit is excessive.  Would the group support paring down </w:t>
      </w:r>
      <w:r w:rsidR="00957BD7">
        <w:rPr>
          <w:rFonts w:asciiTheme="minorHAnsi" w:hAnsiTheme="minorHAnsi"/>
          <w:i/>
        </w:rPr>
        <w:t>that subsection?</w:t>
      </w:r>
    </w:p>
    <w:p w:rsidR="0084789A" w:rsidRPr="0084789A" w:rsidRDefault="0084789A" w:rsidP="0084789A">
      <w:pPr>
        <w:ind w:left="720"/>
        <w:rPr>
          <w:rFonts w:asciiTheme="minorHAnsi" w:hAnsiTheme="minorHAnsi"/>
          <w:i/>
        </w:rPr>
      </w:pPr>
    </w:p>
    <w:p w:rsidR="0084789A" w:rsidRDefault="0084789A" w:rsidP="0084789A">
      <w:pPr>
        <w:pStyle w:val="ListParagraph"/>
        <w:numPr>
          <w:ilvl w:val="0"/>
          <w:numId w:val="15"/>
        </w:numPr>
        <w:spacing w:line="240" w:lineRule="auto"/>
      </w:pPr>
      <w:r>
        <w:t>Simplify where possible, as with the rest of the section.</w:t>
      </w:r>
    </w:p>
    <w:p w:rsidR="0084789A" w:rsidRDefault="0084789A" w:rsidP="0084789A">
      <w:pPr>
        <w:pStyle w:val="ListParagraph"/>
        <w:numPr>
          <w:ilvl w:val="0"/>
          <w:numId w:val="15"/>
        </w:numPr>
        <w:spacing w:line="240" w:lineRule="auto"/>
      </w:pPr>
      <w:r>
        <w:t>Look into two possible permitting process</w:t>
      </w:r>
      <w:r w:rsidR="00957BD7">
        <w:t>.  For example,</w:t>
      </w:r>
      <w:r>
        <w:t xml:space="preserve"> a simpler process for smaller projects than for larger projects</w:t>
      </w:r>
    </w:p>
    <w:p w:rsidR="005B5103" w:rsidRDefault="005B5103" w:rsidP="0084789A">
      <w:pPr>
        <w:pStyle w:val="ListParagraph"/>
        <w:numPr>
          <w:ilvl w:val="0"/>
          <w:numId w:val="15"/>
        </w:numPr>
        <w:spacing w:line="240" w:lineRule="auto"/>
      </w:pPr>
      <w:r>
        <w:t xml:space="preserve">Some concern was expressed about needing to go through SEPA to obtain a permit.  SEPA is required for all permits and that is through other rules.  The workload for processing SEPA primarily lies with the permitting authority though, not the permit applicant.  </w:t>
      </w:r>
    </w:p>
    <w:p w:rsidR="008D2DBB" w:rsidRPr="000E16A7" w:rsidRDefault="008D2DBB" w:rsidP="008D2DBB">
      <w:pPr>
        <w:pStyle w:val="ListParagraph"/>
        <w:ind w:left="0"/>
        <w:rPr>
          <w:rFonts w:asciiTheme="minorHAnsi" w:hAnsiTheme="minorHAnsi"/>
        </w:rPr>
      </w:pPr>
      <w:r w:rsidRPr="000E16A7">
        <w:rPr>
          <w:rFonts w:asciiTheme="minorHAnsi" w:hAnsiTheme="minorHAnsi"/>
          <w:i/>
        </w:rPr>
        <w:t>___________________________________________________________________________________</w:t>
      </w:r>
    </w:p>
    <w:p w:rsidR="00F65777" w:rsidRPr="000E16A7" w:rsidRDefault="00F65777" w:rsidP="002F3A9F">
      <w:pPr>
        <w:contextualSpacing/>
        <w:rPr>
          <w:rFonts w:asciiTheme="minorHAnsi" w:hAnsiTheme="minorHAnsi"/>
          <w:i/>
        </w:rPr>
      </w:pPr>
    </w:p>
    <w:p w:rsidR="00BA7C84" w:rsidRPr="00BA7C84" w:rsidRDefault="00BA7C84" w:rsidP="00BA7C84">
      <w:pPr>
        <w:spacing w:line="240" w:lineRule="auto"/>
        <w:rPr>
          <w:b/>
        </w:rPr>
      </w:pPr>
      <w:r w:rsidRPr="00BA7C84">
        <w:rPr>
          <w:b/>
        </w:rPr>
        <w:t>Next steps</w:t>
      </w:r>
    </w:p>
    <w:p w:rsidR="00D44D48" w:rsidRDefault="00D44D48" w:rsidP="002F3A9F">
      <w:pPr>
        <w:contextualSpacing/>
        <w:rPr>
          <w:rFonts w:asciiTheme="minorHAnsi" w:hAnsiTheme="minorHAnsi"/>
          <w:b/>
          <w:i/>
        </w:rPr>
      </w:pPr>
    </w:p>
    <w:p w:rsidR="00BA7C84" w:rsidRPr="002449E5" w:rsidRDefault="00957BD7" w:rsidP="002449E5">
      <w:pPr>
        <w:pStyle w:val="ListParagraph"/>
        <w:numPr>
          <w:ilvl w:val="0"/>
          <w:numId w:val="18"/>
        </w:numPr>
      </w:pPr>
      <w:r w:rsidRPr="002449E5">
        <w:rPr>
          <w:rFonts w:asciiTheme="minorHAnsi" w:hAnsiTheme="minorHAnsi"/>
        </w:rPr>
        <w:t>With the decision to keep revisions minimal, Marni will try to revise existing language within 30 days and send out to the workgroup for comment.</w:t>
      </w:r>
    </w:p>
    <w:p w:rsidR="00BA7C84" w:rsidRPr="000E16A7" w:rsidRDefault="00BA7C84" w:rsidP="00BA7C84">
      <w:pPr>
        <w:pStyle w:val="ListParagraph"/>
        <w:ind w:left="0"/>
        <w:rPr>
          <w:rFonts w:asciiTheme="minorHAnsi" w:hAnsiTheme="minorHAnsi"/>
        </w:rPr>
      </w:pPr>
      <w:r w:rsidRPr="000E16A7">
        <w:rPr>
          <w:rFonts w:asciiTheme="minorHAnsi" w:hAnsiTheme="minorHAnsi"/>
          <w:i/>
        </w:rPr>
        <w:t>____________________________________________________________________________________</w:t>
      </w:r>
    </w:p>
    <w:p w:rsidR="00BA7C84" w:rsidRDefault="00BA7C84" w:rsidP="002F3A9F">
      <w:pPr>
        <w:contextualSpacing/>
        <w:rPr>
          <w:rFonts w:asciiTheme="minorHAnsi" w:hAnsiTheme="minorHAnsi"/>
          <w:b/>
          <w:i/>
        </w:rPr>
      </w:pPr>
    </w:p>
    <w:p w:rsidR="00BA7C84" w:rsidRDefault="00BA7C84" w:rsidP="00BA7C84">
      <w:pPr>
        <w:spacing w:line="240" w:lineRule="auto"/>
        <w:rPr>
          <w:b/>
        </w:rPr>
      </w:pPr>
      <w:r w:rsidRPr="00BA7C84">
        <w:rPr>
          <w:b/>
        </w:rPr>
        <w:t>Set a date and location for a face-to-face meeting, if needed, or conference call.</w:t>
      </w:r>
    </w:p>
    <w:p w:rsidR="00BA7C84" w:rsidRDefault="00BA7C84" w:rsidP="00BA7C84">
      <w:pPr>
        <w:spacing w:line="240" w:lineRule="auto"/>
        <w:rPr>
          <w:b/>
        </w:rPr>
      </w:pPr>
    </w:p>
    <w:p w:rsidR="00BA7C84" w:rsidRPr="002449E5" w:rsidRDefault="00957BD7" w:rsidP="002449E5">
      <w:pPr>
        <w:pStyle w:val="ListParagraph"/>
        <w:numPr>
          <w:ilvl w:val="0"/>
          <w:numId w:val="17"/>
        </w:numPr>
        <w:rPr>
          <w:rFonts w:asciiTheme="minorHAnsi" w:hAnsiTheme="minorHAnsi"/>
        </w:rPr>
      </w:pPr>
      <w:r w:rsidRPr="002449E5">
        <w:rPr>
          <w:rFonts w:asciiTheme="minorHAnsi" w:hAnsiTheme="minorHAnsi"/>
        </w:rPr>
        <w:t>We will decide on a face-to-face vs. conference call</w:t>
      </w:r>
      <w:r w:rsidR="002449E5" w:rsidRPr="002449E5">
        <w:rPr>
          <w:rFonts w:asciiTheme="minorHAnsi" w:hAnsiTheme="minorHAnsi"/>
        </w:rPr>
        <w:t xml:space="preserve"> after the workgroup gets a look at revised language.</w:t>
      </w:r>
      <w:r w:rsidRPr="002449E5">
        <w:rPr>
          <w:rFonts w:asciiTheme="minorHAnsi" w:hAnsiTheme="minorHAnsi"/>
        </w:rPr>
        <w:t xml:space="preserve"> </w:t>
      </w:r>
    </w:p>
    <w:p w:rsidR="00BA7C84" w:rsidRPr="00BA7C84" w:rsidRDefault="00BA7C84" w:rsidP="00BA7C84">
      <w:pPr>
        <w:spacing w:line="240" w:lineRule="auto"/>
        <w:rPr>
          <w:b/>
        </w:rPr>
      </w:pPr>
    </w:p>
    <w:sectPr w:rsidR="00BA7C84" w:rsidRPr="00BA7C84" w:rsidSect="00BA7C84">
      <w:pgSz w:w="12240" w:h="15840" w:code="1"/>
      <w:pgMar w:top="1008" w:right="1296" w:bottom="1008" w:left="1296" w:header="432" w:footer="432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21ED7"/>
    <w:multiLevelType w:val="hybridMultilevel"/>
    <w:tmpl w:val="A3CE92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333415"/>
    <w:multiLevelType w:val="hybridMultilevel"/>
    <w:tmpl w:val="994466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1D262B0"/>
    <w:multiLevelType w:val="hybridMultilevel"/>
    <w:tmpl w:val="A9FEF2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AB6413"/>
    <w:multiLevelType w:val="hybridMultilevel"/>
    <w:tmpl w:val="DC066F3A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6896E3E"/>
    <w:multiLevelType w:val="hybridMultilevel"/>
    <w:tmpl w:val="A1F235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76E285A"/>
    <w:multiLevelType w:val="hybridMultilevel"/>
    <w:tmpl w:val="8A8A6C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85409A3"/>
    <w:multiLevelType w:val="hybridMultilevel"/>
    <w:tmpl w:val="CA76B526"/>
    <w:lvl w:ilvl="0" w:tplc="CEAAFD46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F916A2"/>
    <w:multiLevelType w:val="hybridMultilevel"/>
    <w:tmpl w:val="123E5AB8"/>
    <w:lvl w:ilvl="0" w:tplc="CEAAFD46">
      <w:start w:val="1"/>
      <w:numFmt w:val="bullet"/>
      <w:lvlText w:val="―"/>
      <w:lvlJc w:val="left"/>
      <w:pPr>
        <w:ind w:left="108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305382B"/>
    <w:multiLevelType w:val="hybridMultilevel"/>
    <w:tmpl w:val="FCC482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E622520"/>
    <w:multiLevelType w:val="hybridMultilevel"/>
    <w:tmpl w:val="FD2E7C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18E5382"/>
    <w:multiLevelType w:val="hybridMultilevel"/>
    <w:tmpl w:val="D108DA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65513CC"/>
    <w:multiLevelType w:val="hybridMultilevel"/>
    <w:tmpl w:val="6DB09B9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68555CBD"/>
    <w:multiLevelType w:val="hybridMultilevel"/>
    <w:tmpl w:val="EEE6A682"/>
    <w:lvl w:ilvl="0" w:tplc="CEAAFD46">
      <w:start w:val="1"/>
      <w:numFmt w:val="bullet"/>
      <w:lvlText w:val="―"/>
      <w:lvlJc w:val="left"/>
      <w:pPr>
        <w:ind w:left="108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00E08D4"/>
    <w:multiLevelType w:val="hybridMultilevel"/>
    <w:tmpl w:val="DECE0CF8"/>
    <w:lvl w:ilvl="0" w:tplc="CEAAFD46">
      <w:start w:val="1"/>
      <w:numFmt w:val="bullet"/>
      <w:lvlText w:val="―"/>
      <w:lvlJc w:val="left"/>
      <w:pPr>
        <w:ind w:left="1080" w:hanging="360"/>
      </w:pPr>
      <w:rPr>
        <w:rFonts w:ascii="Calibri" w:hAnsi="Calibri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09D016C"/>
    <w:multiLevelType w:val="hybridMultilevel"/>
    <w:tmpl w:val="7C80CE16"/>
    <w:lvl w:ilvl="0" w:tplc="CEAAFD46">
      <w:start w:val="1"/>
      <w:numFmt w:val="bullet"/>
      <w:lvlText w:val="―"/>
      <w:lvlJc w:val="left"/>
      <w:pPr>
        <w:ind w:left="108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5B86C08"/>
    <w:multiLevelType w:val="hybridMultilevel"/>
    <w:tmpl w:val="7D7EBF10"/>
    <w:lvl w:ilvl="0" w:tplc="CEAAFD46">
      <w:start w:val="1"/>
      <w:numFmt w:val="bullet"/>
      <w:lvlText w:val="―"/>
      <w:lvlJc w:val="left"/>
      <w:pPr>
        <w:ind w:left="108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15"/>
  </w:num>
  <w:num w:numId="7">
    <w:abstractNumId w:val="14"/>
  </w:num>
  <w:num w:numId="8">
    <w:abstractNumId w:val="7"/>
  </w:num>
  <w:num w:numId="9">
    <w:abstractNumId w:val="12"/>
  </w:num>
  <w:num w:numId="10">
    <w:abstractNumId w:val="4"/>
  </w:num>
  <w:num w:numId="1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2"/>
  </w:num>
  <w:num w:numId="14">
    <w:abstractNumId w:val="6"/>
  </w:num>
  <w:num w:numId="15">
    <w:abstractNumId w:val="10"/>
  </w:num>
  <w:num w:numId="16">
    <w:abstractNumId w:val="8"/>
  </w:num>
  <w:num w:numId="17">
    <w:abstractNumId w:val="1"/>
  </w:num>
  <w:num w:numId="18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hideGrammaticalErrors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4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CB482D"/>
    <w:rsid w:val="0001256D"/>
    <w:rsid w:val="00014912"/>
    <w:rsid w:val="00014EE6"/>
    <w:rsid w:val="00020413"/>
    <w:rsid w:val="00022837"/>
    <w:rsid w:val="0002598D"/>
    <w:rsid w:val="00030DDA"/>
    <w:rsid w:val="0003362C"/>
    <w:rsid w:val="00034C4B"/>
    <w:rsid w:val="00034FDA"/>
    <w:rsid w:val="00047B65"/>
    <w:rsid w:val="00052FFE"/>
    <w:rsid w:val="000541BA"/>
    <w:rsid w:val="00054773"/>
    <w:rsid w:val="00073D7B"/>
    <w:rsid w:val="000802DD"/>
    <w:rsid w:val="00082E24"/>
    <w:rsid w:val="00094200"/>
    <w:rsid w:val="00095773"/>
    <w:rsid w:val="00096DAB"/>
    <w:rsid w:val="000A135B"/>
    <w:rsid w:val="000A65C6"/>
    <w:rsid w:val="000D7323"/>
    <w:rsid w:val="000E16A7"/>
    <w:rsid w:val="000E1BD7"/>
    <w:rsid w:val="000F2C99"/>
    <w:rsid w:val="00103960"/>
    <w:rsid w:val="001043E8"/>
    <w:rsid w:val="00104565"/>
    <w:rsid w:val="001069D5"/>
    <w:rsid w:val="00114263"/>
    <w:rsid w:val="00117C35"/>
    <w:rsid w:val="00120947"/>
    <w:rsid w:val="00123B00"/>
    <w:rsid w:val="00124693"/>
    <w:rsid w:val="00132794"/>
    <w:rsid w:val="00142B51"/>
    <w:rsid w:val="001451ED"/>
    <w:rsid w:val="00146220"/>
    <w:rsid w:val="00151162"/>
    <w:rsid w:val="00153E06"/>
    <w:rsid w:val="00166079"/>
    <w:rsid w:val="00180F8D"/>
    <w:rsid w:val="00181478"/>
    <w:rsid w:val="001B2CC2"/>
    <w:rsid w:val="001B463D"/>
    <w:rsid w:val="001B57D4"/>
    <w:rsid w:val="001C0D51"/>
    <w:rsid w:val="001D1E6E"/>
    <w:rsid w:val="001D5F1F"/>
    <w:rsid w:val="001E551E"/>
    <w:rsid w:val="001F08E7"/>
    <w:rsid w:val="0020126E"/>
    <w:rsid w:val="00202B70"/>
    <w:rsid w:val="0020607A"/>
    <w:rsid w:val="00212CB5"/>
    <w:rsid w:val="00215C80"/>
    <w:rsid w:val="0022341B"/>
    <w:rsid w:val="00225F48"/>
    <w:rsid w:val="00226010"/>
    <w:rsid w:val="00240FCC"/>
    <w:rsid w:val="002449E5"/>
    <w:rsid w:val="002503E7"/>
    <w:rsid w:val="00250D52"/>
    <w:rsid w:val="002532F0"/>
    <w:rsid w:val="002658DA"/>
    <w:rsid w:val="00270C4B"/>
    <w:rsid w:val="0027243C"/>
    <w:rsid w:val="002724EB"/>
    <w:rsid w:val="002730DD"/>
    <w:rsid w:val="0028157D"/>
    <w:rsid w:val="002818C4"/>
    <w:rsid w:val="00282903"/>
    <w:rsid w:val="00282D80"/>
    <w:rsid w:val="002918AA"/>
    <w:rsid w:val="00294781"/>
    <w:rsid w:val="00295DFB"/>
    <w:rsid w:val="00296291"/>
    <w:rsid w:val="002A0108"/>
    <w:rsid w:val="002A3DC9"/>
    <w:rsid w:val="002A58F8"/>
    <w:rsid w:val="002B06C1"/>
    <w:rsid w:val="002B5DF2"/>
    <w:rsid w:val="002C1ACD"/>
    <w:rsid w:val="002C403E"/>
    <w:rsid w:val="002E5FF8"/>
    <w:rsid w:val="002E6E42"/>
    <w:rsid w:val="002E7F35"/>
    <w:rsid w:val="002F1DE3"/>
    <w:rsid w:val="002F2A32"/>
    <w:rsid w:val="002F3404"/>
    <w:rsid w:val="002F3A9F"/>
    <w:rsid w:val="00302CFB"/>
    <w:rsid w:val="003039F4"/>
    <w:rsid w:val="00306DCC"/>
    <w:rsid w:val="003144FC"/>
    <w:rsid w:val="0032731A"/>
    <w:rsid w:val="003305E8"/>
    <w:rsid w:val="00331870"/>
    <w:rsid w:val="00345211"/>
    <w:rsid w:val="0034666C"/>
    <w:rsid w:val="00346D61"/>
    <w:rsid w:val="00350EB8"/>
    <w:rsid w:val="0037024C"/>
    <w:rsid w:val="003849DC"/>
    <w:rsid w:val="00391A6D"/>
    <w:rsid w:val="003A2096"/>
    <w:rsid w:val="003A3B04"/>
    <w:rsid w:val="003A7024"/>
    <w:rsid w:val="003B36F3"/>
    <w:rsid w:val="003B47CA"/>
    <w:rsid w:val="003C0967"/>
    <w:rsid w:val="003C2F16"/>
    <w:rsid w:val="003C3572"/>
    <w:rsid w:val="003D3D48"/>
    <w:rsid w:val="003D6351"/>
    <w:rsid w:val="003E3D20"/>
    <w:rsid w:val="003F57C5"/>
    <w:rsid w:val="004037D1"/>
    <w:rsid w:val="004259C2"/>
    <w:rsid w:val="004301BB"/>
    <w:rsid w:val="004353B5"/>
    <w:rsid w:val="00437198"/>
    <w:rsid w:val="004458BA"/>
    <w:rsid w:val="0045403E"/>
    <w:rsid w:val="00467CA6"/>
    <w:rsid w:val="00474C5B"/>
    <w:rsid w:val="0048041D"/>
    <w:rsid w:val="00493061"/>
    <w:rsid w:val="00495340"/>
    <w:rsid w:val="004A6110"/>
    <w:rsid w:val="004B14AE"/>
    <w:rsid w:val="004B747A"/>
    <w:rsid w:val="004B7B8A"/>
    <w:rsid w:val="004C377B"/>
    <w:rsid w:val="004D788F"/>
    <w:rsid w:val="004E0315"/>
    <w:rsid w:val="004E2874"/>
    <w:rsid w:val="004E3A87"/>
    <w:rsid w:val="004F46B2"/>
    <w:rsid w:val="004F678C"/>
    <w:rsid w:val="00501F68"/>
    <w:rsid w:val="0050221B"/>
    <w:rsid w:val="00504D05"/>
    <w:rsid w:val="00517ACD"/>
    <w:rsid w:val="005216DA"/>
    <w:rsid w:val="00522D0F"/>
    <w:rsid w:val="005231E8"/>
    <w:rsid w:val="00536963"/>
    <w:rsid w:val="0054072F"/>
    <w:rsid w:val="00542443"/>
    <w:rsid w:val="005445E5"/>
    <w:rsid w:val="00553BE3"/>
    <w:rsid w:val="005600BE"/>
    <w:rsid w:val="005639E0"/>
    <w:rsid w:val="00573D58"/>
    <w:rsid w:val="00580BEC"/>
    <w:rsid w:val="00585CC2"/>
    <w:rsid w:val="005A1263"/>
    <w:rsid w:val="005B5103"/>
    <w:rsid w:val="005B7399"/>
    <w:rsid w:val="005C076F"/>
    <w:rsid w:val="005C1D65"/>
    <w:rsid w:val="005C1FF1"/>
    <w:rsid w:val="005D39C7"/>
    <w:rsid w:val="005D6FE6"/>
    <w:rsid w:val="005D758C"/>
    <w:rsid w:val="005D7ECA"/>
    <w:rsid w:val="005E0396"/>
    <w:rsid w:val="005E19F8"/>
    <w:rsid w:val="00604077"/>
    <w:rsid w:val="006124CA"/>
    <w:rsid w:val="00613A1D"/>
    <w:rsid w:val="0065184B"/>
    <w:rsid w:val="0065439A"/>
    <w:rsid w:val="00657494"/>
    <w:rsid w:val="00663C99"/>
    <w:rsid w:val="006756B3"/>
    <w:rsid w:val="00675F55"/>
    <w:rsid w:val="006824CD"/>
    <w:rsid w:val="0068375A"/>
    <w:rsid w:val="00690F2C"/>
    <w:rsid w:val="00696D41"/>
    <w:rsid w:val="006B65E2"/>
    <w:rsid w:val="006C1721"/>
    <w:rsid w:val="006D5732"/>
    <w:rsid w:val="006D5CC9"/>
    <w:rsid w:val="006E52C0"/>
    <w:rsid w:val="006E5E8C"/>
    <w:rsid w:val="006E61EE"/>
    <w:rsid w:val="006F0F20"/>
    <w:rsid w:val="00704C19"/>
    <w:rsid w:val="00706094"/>
    <w:rsid w:val="00711A8D"/>
    <w:rsid w:val="007154A0"/>
    <w:rsid w:val="0072084C"/>
    <w:rsid w:val="007262A8"/>
    <w:rsid w:val="0073073A"/>
    <w:rsid w:val="00740A2D"/>
    <w:rsid w:val="00742F9B"/>
    <w:rsid w:val="00747A5E"/>
    <w:rsid w:val="00757752"/>
    <w:rsid w:val="007646C6"/>
    <w:rsid w:val="0076641D"/>
    <w:rsid w:val="00770085"/>
    <w:rsid w:val="00773564"/>
    <w:rsid w:val="007743A2"/>
    <w:rsid w:val="00781536"/>
    <w:rsid w:val="007875DB"/>
    <w:rsid w:val="00790375"/>
    <w:rsid w:val="007A19CB"/>
    <w:rsid w:val="007B7AA7"/>
    <w:rsid w:val="007D1005"/>
    <w:rsid w:val="007D4A97"/>
    <w:rsid w:val="007D627F"/>
    <w:rsid w:val="007E68D2"/>
    <w:rsid w:val="00805A68"/>
    <w:rsid w:val="0080610D"/>
    <w:rsid w:val="00811BA9"/>
    <w:rsid w:val="008309F5"/>
    <w:rsid w:val="00834ABF"/>
    <w:rsid w:val="00840184"/>
    <w:rsid w:val="0084789A"/>
    <w:rsid w:val="00851042"/>
    <w:rsid w:val="00851F6F"/>
    <w:rsid w:val="00861D8F"/>
    <w:rsid w:val="00866C83"/>
    <w:rsid w:val="00871FCB"/>
    <w:rsid w:val="0088078D"/>
    <w:rsid w:val="00883804"/>
    <w:rsid w:val="00884F7E"/>
    <w:rsid w:val="00896D4A"/>
    <w:rsid w:val="00897AF3"/>
    <w:rsid w:val="008B260C"/>
    <w:rsid w:val="008B31E4"/>
    <w:rsid w:val="008C40A9"/>
    <w:rsid w:val="008C4A57"/>
    <w:rsid w:val="008D03F0"/>
    <w:rsid w:val="008D0FA2"/>
    <w:rsid w:val="008D2DBB"/>
    <w:rsid w:val="008D6793"/>
    <w:rsid w:val="009003DD"/>
    <w:rsid w:val="0090380E"/>
    <w:rsid w:val="00907D9C"/>
    <w:rsid w:val="009220EE"/>
    <w:rsid w:val="00926DE2"/>
    <w:rsid w:val="009369A9"/>
    <w:rsid w:val="00946F47"/>
    <w:rsid w:val="009517F9"/>
    <w:rsid w:val="00957B20"/>
    <w:rsid w:val="00957BD7"/>
    <w:rsid w:val="009619D7"/>
    <w:rsid w:val="00962F82"/>
    <w:rsid w:val="00963408"/>
    <w:rsid w:val="0097405E"/>
    <w:rsid w:val="00975FC1"/>
    <w:rsid w:val="00981DCC"/>
    <w:rsid w:val="00991B3E"/>
    <w:rsid w:val="009A02D2"/>
    <w:rsid w:val="009C31D7"/>
    <w:rsid w:val="009E2D76"/>
    <w:rsid w:val="009E4F2E"/>
    <w:rsid w:val="009E7FC5"/>
    <w:rsid w:val="00A0180B"/>
    <w:rsid w:val="00A0371E"/>
    <w:rsid w:val="00A213BA"/>
    <w:rsid w:val="00A23C30"/>
    <w:rsid w:val="00A34281"/>
    <w:rsid w:val="00A34D01"/>
    <w:rsid w:val="00A44835"/>
    <w:rsid w:val="00A45836"/>
    <w:rsid w:val="00A463BC"/>
    <w:rsid w:val="00A55B22"/>
    <w:rsid w:val="00A5759F"/>
    <w:rsid w:val="00A6240F"/>
    <w:rsid w:val="00A82315"/>
    <w:rsid w:val="00A856A9"/>
    <w:rsid w:val="00A95C63"/>
    <w:rsid w:val="00AA1880"/>
    <w:rsid w:val="00AA4FCF"/>
    <w:rsid w:val="00AB1C59"/>
    <w:rsid w:val="00AB67CB"/>
    <w:rsid w:val="00AC641D"/>
    <w:rsid w:val="00AD6D0C"/>
    <w:rsid w:val="00AD755D"/>
    <w:rsid w:val="00B10010"/>
    <w:rsid w:val="00B17F5B"/>
    <w:rsid w:val="00B46054"/>
    <w:rsid w:val="00B516B3"/>
    <w:rsid w:val="00B52B77"/>
    <w:rsid w:val="00B56667"/>
    <w:rsid w:val="00B5691A"/>
    <w:rsid w:val="00B56A4A"/>
    <w:rsid w:val="00B63A24"/>
    <w:rsid w:val="00B65A97"/>
    <w:rsid w:val="00B7580D"/>
    <w:rsid w:val="00B75C44"/>
    <w:rsid w:val="00B975D3"/>
    <w:rsid w:val="00BA7C84"/>
    <w:rsid w:val="00BB079C"/>
    <w:rsid w:val="00BB54BD"/>
    <w:rsid w:val="00BD0419"/>
    <w:rsid w:val="00BD1555"/>
    <w:rsid w:val="00BE54C4"/>
    <w:rsid w:val="00BF0F44"/>
    <w:rsid w:val="00BF128F"/>
    <w:rsid w:val="00C02F89"/>
    <w:rsid w:val="00C030C9"/>
    <w:rsid w:val="00C206C0"/>
    <w:rsid w:val="00C34990"/>
    <w:rsid w:val="00C36BF5"/>
    <w:rsid w:val="00C44927"/>
    <w:rsid w:val="00C44D59"/>
    <w:rsid w:val="00C63030"/>
    <w:rsid w:val="00C70BEB"/>
    <w:rsid w:val="00C721B6"/>
    <w:rsid w:val="00C7585B"/>
    <w:rsid w:val="00C92C5A"/>
    <w:rsid w:val="00C94498"/>
    <w:rsid w:val="00CA2C2F"/>
    <w:rsid w:val="00CA7580"/>
    <w:rsid w:val="00CB482D"/>
    <w:rsid w:val="00CB6692"/>
    <w:rsid w:val="00CC059D"/>
    <w:rsid w:val="00CC07AF"/>
    <w:rsid w:val="00CD0969"/>
    <w:rsid w:val="00CD6537"/>
    <w:rsid w:val="00CE6663"/>
    <w:rsid w:val="00CE7192"/>
    <w:rsid w:val="00CF383E"/>
    <w:rsid w:val="00D01F73"/>
    <w:rsid w:val="00D1205A"/>
    <w:rsid w:val="00D1365F"/>
    <w:rsid w:val="00D20CC5"/>
    <w:rsid w:val="00D35D11"/>
    <w:rsid w:val="00D375D7"/>
    <w:rsid w:val="00D44D48"/>
    <w:rsid w:val="00D637D7"/>
    <w:rsid w:val="00D73A48"/>
    <w:rsid w:val="00D750D1"/>
    <w:rsid w:val="00D82870"/>
    <w:rsid w:val="00D87DDF"/>
    <w:rsid w:val="00DB0D4A"/>
    <w:rsid w:val="00DC03D2"/>
    <w:rsid w:val="00DC2D65"/>
    <w:rsid w:val="00DC3272"/>
    <w:rsid w:val="00DC43C5"/>
    <w:rsid w:val="00DD31F5"/>
    <w:rsid w:val="00DE7F31"/>
    <w:rsid w:val="00DF2CD8"/>
    <w:rsid w:val="00E02A6C"/>
    <w:rsid w:val="00E030CA"/>
    <w:rsid w:val="00E2146C"/>
    <w:rsid w:val="00E25A0D"/>
    <w:rsid w:val="00E27AB7"/>
    <w:rsid w:val="00E3040C"/>
    <w:rsid w:val="00E31124"/>
    <w:rsid w:val="00E31E2B"/>
    <w:rsid w:val="00E3375B"/>
    <w:rsid w:val="00E35B91"/>
    <w:rsid w:val="00E36B5A"/>
    <w:rsid w:val="00E37F65"/>
    <w:rsid w:val="00E6464F"/>
    <w:rsid w:val="00E70508"/>
    <w:rsid w:val="00E72A26"/>
    <w:rsid w:val="00E74E0D"/>
    <w:rsid w:val="00E86A27"/>
    <w:rsid w:val="00EA1F7C"/>
    <w:rsid w:val="00EA2CDB"/>
    <w:rsid w:val="00EB25CB"/>
    <w:rsid w:val="00EC3516"/>
    <w:rsid w:val="00EC46BD"/>
    <w:rsid w:val="00ED16B9"/>
    <w:rsid w:val="00EE1330"/>
    <w:rsid w:val="00EE217C"/>
    <w:rsid w:val="00F020E7"/>
    <w:rsid w:val="00F071DA"/>
    <w:rsid w:val="00F1260E"/>
    <w:rsid w:val="00F17AF1"/>
    <w:rsid w:val="00F21450"/>
    <w:rsid w:val="00F300B4"/>
    <w:rsid w:val="00F331C7"/>
    <w:rsid w:val="00F412AF"/>
    <w:rsid w:val="00F45157"/>
    <w:rsid w:val="00F47864"/>
    <w:rsid w:val="00F634C6"/>
    <w:rsid w:val="00F64E4C"/>
    <w:rsid w:val="00F65777"/>
    <w:rsid w:val="00F81DC9"/>
    <w:rsid w:val="00F85244"/>
    <w:rsid w:val="00FA6188"/>
    <w:rsid w:val="00FB52DE"/>
    <w:rsid w:val="00FC25B5"/>
    <w:rsid w:val="00FD1031"/>
    <w:rsid w:val="00FD5100"/>
    <w:rsid w:val="00FD5576"/>
    <w:rsid w:val="00FE3615"/>
    <w:rsid w:val="00FE3A52"/>
    <w:rsid w:val="00FF1977"/>
    <w:rsid w:val="00FF3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1825EA"/>
  <w15:docId w15:val="{3C9C4E91-3C55-446F-ADB8-84A7F4886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HAnsi" w:hAnsi="Calibri" w:cs="Calibri"/>
        <w:spacing w:val="-2"/>
        <w:sz w:val="23"/>
        <w:szCs w:val="23"/>
        <w:lang w:val="en-US" w:eastAsia="en-US" w:bidi="ar-SA"/>
      </w:rPr>
    </w:rPrDefault>
    <w:pPrDefault>
      <w:pPr>
        <w:spacing w:line="22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75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331C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331C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47A5E"/>
    <w:pPr>
      <w:ind w:left="720"/>
      <w:contextualSpacing/>
    </w:pPr>
  </w:style>
  <w:style w:type="character" w:customStyle="1" w:styleId="p1">
    <w:name w:val="p1"/>
    <w:basedOn w:val="DefaultParagraphFont"/>
    <w:rsid w:val="00153E06"/>
    <w:rPr>
      <w:vanish w:val="0"/>
      <w:webHidden w:val="0"/>
      <w:specVanish w:val="0"/>
    </w:rPr>
  </w:style>
  <w:style w:type="paragraph" w:customStyle="1" w:styleId="Default">
    <w:name w:val="Default"/>
    <w:rsid w:val="00F65777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12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5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33C4D4B31A304897E033DDAC7AEB0C" ma:contentTypeVersion="12" ma:contentTypeDescription="Create a new document." ma:contentTypeScope="" ma:versionID="1b876dd88f2fab1678650100adee16e8">
  <xsd:schema xmlns:xsd="http://www.w3.org/2001/XMLSchema" xmlns:xs="http://www.w3.org/2001/XMLSchema" xmlns:p="http://schemas.microsoft.com/office/2006/metadata/properties" xmlns:ns2="cde02f72-baa1-42c3-9bf3-42091b22f75e" targetNamespace="http://schemas.microsoft.com/office/2006/metadata/properties" ma:root="true" ma:fieldsID="39e85c0c964f8aefe8de419790980260" ns2:_="">
    <xsd:import namespace="cde02f72-baa1-42c3-9bf3-42091b22f75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e02f72-baa1-42c3-9bf3-42091b22f75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>
    <_dlc_DocId xmlns="cde02f72-baa1-42c3-9bf3-42091b22f75e">PWHWS5UN4YNX-349-1</_dlc_DocId>
    <_dlc_DocIdUrl xmlns="cde02f72-baa1-42c3-9bf3-42091b22f75e">
      <Url>http://partnerweb/sites/GR/rules/ruleFiles/173350AO13-08/_layouts/15/DocIdRedir.aspx?ID=PWHWS5UN4YNX-349-1</Url>
      <Description>PWHWS5UN4YNX-349-1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98039F-023C-43C3-BDBF-2ACBCC13964E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081DEBBE-93C4-4D60-9D87-1AD732F2DE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e02f72-baa1-42c3-9bf3-42091b22f7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D3AEBF7-ADC6-4DBB-96A8-4BCFCCA772E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01D6B06-212E-4004-AFDA-897844D1DDD8}">
  <ds:schemaRefs>
    <ds:schemaRef ds:uri="http://schemas.microsoft.com/office/2006/metadata/properties"/>
    <ds:schemaRef ds:uri="cde02f72-baa1-42c3-9bf3-42091b22f75e"/>
  </ds:schemaRefs>
</ds:datastoreItem>
</file>

<file path=customXml/itemProps5.xml><?xml version="1.0" encoding="utf-8"?>
<ds:datastoreItem xmlns:ds="http://schemas.openxmlformats.org/officeDocument/2006/customXml" ds:itemID="{CBA136B3-BD25-486F-A92E-DED13849F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1</Pages>
  <Words>1168</Words>
  <Characters>6658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 Department of Ecology</Company>
  <LinksUpToDate>false</LinksUpToDate>
  <CharactersWithSpaces>7811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Marni Solheim</dc:creator>
  <cp:lastModifiedBy>MSOL461</cp:lastModifiedBy>
  <cp:revision>34</cp:revision>
  <cp:lastPrinted>2014-04-22T17:08:00Z</cp:lastPrinted>
  <dcterms:created xsi:type="dcterms:W3CDTF">2015-05-07T17:04:00Z</dcterms:created>
  <dcterms:modified xsi:type="dcterms:W3CDTF">2015-05-19T18:33:00Z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0x0101004B33C4D4B31A304897E033DDAC7AEB0C</vt:lpwstr>
  </property>
  <property fmtid="{D5CDD505-2E9C-101B-9397-08002B2CF9AE}" pid="3" name="_dlc_DocIdItemGuid">
    <vt:lpwstr>aecbbae6-901f-4447-9248-88f547fd6c75</vt:lpwstr>
  </property>
</Properties>
</file>